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思源黑体 CN Bold" w:hAnsi="思源黑体 CN Bold" w:eastAsia="思源黑体 CN Bold" w:cs="黑体"/>
          <w:sz w:val="24"/>
        </w:rPr>
      </w:pPr>
    </w:p>
    <w:p>
      <w:pPr>
        <w:rPr>
          <w:rFonts w:ascii="思源黑体 CN Bold" w:hAnsi="思源黑体 CN Bold" w:eastAsia="思源黑体 CN Bold" w:cs="黑体"/>
        </w:rPr>
      </w:pPr>
    </w:p>
    <w:p>
      <w:pPr>
        <w:rPr>
          <w:rFonts w:ascii="思源黑体 CN Bold" w:hAnsi="思源黑体 CN Bold" w:eastAsia="思源黑体 CN Bold" w:cs="黑体"/>
        </w:rPr>
      </w:pPr>
    </w:p>
    <w:p>
      <w:pPr>
        <w:rPr>
          <w:rFonts w:ascii="思源黑体 CN Bold" w:hAnsi="思源黑体 CN Bold" w:eastAsia="思源黑体 CN Bold" w:cs="黑体"/>
        </w:rPr>
      </w:pPr>
    </w:p>
    <w:p>
      <w:pPr>
        <w:rPr>
          <w:rFonts w:ascii="思源黑体 CN Bold" w:hAnsi="思源黑体 CN Bold" w:eastAsia="思源黑体 CN Bold" w:cs="黑体"/>
        </w:rPr>
      </w:pPr>
    </w:p>
    <w:p>
      <w:pPr>
        <w:rPr>
          <w:rFonts w:ascii="思源黑体 CN Bold" w:hAnsi="思源黑体 CN Bold" w:eastAsia="思源黑体 CN Bold" w:cs="黑体"/>
        </w:rPr>
      </w:pPr>
      <w:r>
        <w:rPr>
          <w:rFonts w:hint="eastAsia" w:ascii="思源黑体 CN Bold" w:hAnsi="思源黑体 CN Bold" w:eastAsia="思源黑体 CN Bold" w:cs="黑体"/>
          <w:lang w:bidi="ar"/>
        </w:rPr>
        <w:drawing>
          <wp:inline distT="0" distB="0" distL="114300" distR="114300">
            <wp:extent cx="6172200" cy="1905000"/>
            <wp:effectExtent l="0" t="0" r="0" b="0"/>
            <wp:docPr id="28" name="图片 1" descr="1294x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 descr="1294x4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黑体 CN Bold" w:hAnsi="思源黑体 CN Bold" w:eastAsia="思源黑体 CN Bold" w:cs="黑体"/>
        </w:rPr>
      </w:pPr>
    </w:p>
    <w:p>
      <w:pPr>
        <w:rPr>
          <w:rFonts w:ascii="思源黑体 CN Bold" w:hAnsi="思源黑体 CN Bold" w:eastAsia="思源黑体 CN Bold" w:cs="黑体"/>
        </w:rPr>
      </w:pPr>
    </w:p>
    <w:p>
      <w:pPr>
        <w:rPr>
          <w:rFonts w:ascii="思源黑体 CN Bold" w:hAnsi="思源黑体 CN Bold" w:eastAsia="思源黑体 CN Bold" w:cs="黑体"/>
        </w:rPr>
      </w:pPr>
    </w:p>
    <w:p>
      <w:pPr>
        <w:rPr>
          <w:rFonts w:ascii="思源黑体 CN Bold" w:hAnsi="思源黑体 CN Bold" w:eastAsia="思源黑体 CN Bold" w:cs="黑体"/>
        </w:rPr>
      </w:pPr>
    </w:p>
    <w:p>
      <w:pPr>
        <w:jc w:val="center"/>
        <w:rPr>
          <w:rFonts w:ascii="思源黑体 CN Bold" w:hAnsi="思源黑体 CN Bold" w:eastAsia="思源黑体 CN Bold" w:cs="黑体"/>
          <w:sz w:val="96"/>
        </w:rPr>
      </w:pPr>
      <w:r>
        <w:rPr>
          <w:rFonts w:hint="eastAsia" w:ascii="思源黑体 CN Bold" w:hAnsi="思源黑体 CN Bold" w:eastAsia="思源黑体 CN Bold" w:cs="黑体"/>
          <w:sz w:val="72"/>
          <w:szCs w:val="21"/>
          <w:lang w:bidi="ar"/>
        </w:rPr>
        <w:t>畅.无忧 智能服宝伴年结</w:t>
      </w:r>
    </w:p>
    <w:p>
      <w:pPr>
        <w:jc w:val="center"/>
        <w:rPr>
          <w:rFonts w:ascii="思源黑体 CN Bold" w:hAnsi="思源黑体 CN Bold" w:eastAsia="思源黑体 CN Bold" w:cs="黑体"/>
          <w:sz w:val="56"/>
          <w:szCs w:val="24"/>
        </w:rPr>
      </w:pPr>
      <w:r>
        <w:rPr>
          <w:rFonts w:hint="eastAsia" w:ascii="思源黑体 CN Bold" w:hAnsi="思源黑体 CN Bold" w:eastAsia="思源黑体 CN Bold" w:cs="黑体"/>
          <w:sz w:val="56"/>
          <w:szCs w:val="24"/>
          <w:lang w:bidi="ar"/>
        </w:rPr>
        <w:t>T+ 年末处理操作手册</w:t>
      </w:r>
    </w:p>
    <w:p>
      <w:pPr>
        <w:jc w:val="center"/>
        <w:rPr>
          <w:rFonts w:ascii="思源黑体 CN Bold" w:hAnsi="思源黑体 CN Bold" w:eastAsia="思源黑体 CN Bold" w:cs="黑体"/>
          <w:sz w:val="52"/>
        </w:rPr>
      </w:pPr>
      <w:r>
        <w:rPr>
          <w:rFonts w:hint="eastAsia" w:ascii="思源黑体 CN Bold" w:hAnsi="思源黑体 CN Bold" w:eastAsia="思源黑体 CN Bold" w:cs="黑体"/>
          <w:sz w:val="56"/>
          <w:szCs w:val="24"/>
          <w:lang w:bidi="ar"/>
        </w:rPr>
        <w:t>普及版</w:t>
      </w:r>
    </w:p>
    <w:p>
      <w:pPr>
        <w:jc w:val="center"/>
        <w:rPr>
          <w:rFonts w:ascii="思源黑体 CN Bold" w:hAnsi="思源黑体 CN Bold" w:eastAsia="思源黑体 CN Bold" w:cs="黑体"/>
          <w:sz w:val="52"/>
        </w:rPr>
      </w:pPr>
    </w:p>
    <w:p>
      <w:pPr>
        <w:jc w:val="center"/>
        <w:rPr>
          <w:rFonts w:ascii="思源黑体 CN Bold" w:hAnsi="思源黑体 CN Bold" w:eastAsia="思源黑体 CN Bold" w:cs="黑体"/>
          <w:sz w:val="52"/>
        </w:rPr>
      </w:pPr>
    </w:p>
    <w:p>
      <w:pPr>
        <w:jc w:val="center"/>
        <w:rPr>
          <w:rFonts w:ascii="思源黑体 CN Bold" w:hAnsi="思源黑体 CN Bold" w:eastAsia="思源黑体 CN Bold" w:cs="黑体"/>
          <w:sz w:val="52"/>
        </w:rPr>
      </w:pPr>
    </w:p>
    <w:p>
      <w:pPr>
        <w:jc w:val="center"/>
        <w:rPr>
          <w:rFonts w:ascii="思源黑体 CN Bold" w:hAnsi="思源黑体 CN Bold" w:eastAsia="思源黑体 CN Bold" w:cs="黑体"/>
          <w:sz w:val="52"/>
        </w:rPr>
      </w:pPr>
    </w:p>
    <w:p>
      <w:pPr>
        <w:ind w:firstLine="4140" w:firstLineChars="1150"/>
        <w:jc w:val="left"/>
        <w:rPr>
          <w:rFonts w:ascii="思源黑体 CN Bold" w:hAnsi="思源黑体 CN Bold" w:eastAsia="思源黑体 CN Bold" w:cs="黑体"/>
          <w:sz w:val="36"/>
        </w:rPr>
      </w:pPr>
      <w:r>
        <w:rPr>
          <w:rFonts w:hint="eastAsia" w:ascii="思源黑体 CN Bold" w:hAnsi="思源黑体 CN Bold" w:eastAsia="思源黑体 CN Bold" w:cs="黑体"/>
          <w:sz w:val="36"/>
          <w:lang w:bidi="ar"/>
        </w:rPr>
        <w:t>畅捷通信息技术股份有限公司</w:t>
      </w:r>
    </w:p>
    <w:p>
      <w:pPr>
        <w:ind w:firstLine="5580" w:firstLineChars="1550"/>
        <w:jc w:val="left"/>
        <w:rPr>
          <w:rFonts w:ascii="思源黑体 CN Bold" w:hAnsi="思源黑体 CN Bold" w:eastAsia="思源黑体 CN Bold" w:cs="黑体"/>
          <w:sz w:val="36"/>
        </w:rPr>
      </w:pPr>
      <w:r>
        <w:rPr>
          <w:rFonts w:hint="eastAsia" w:ascii="思源黑体 CN Bold" w:hAnsi="思源黑体 CN Bold" w:eastAsia="思源黑体 CN Bold" w:cs="黑体"/>
          <w:sz w:val="36"/>
          <w:lang w:bidi="ar"/>
        </w:rPr>
        <w:t>用户运营中心</w:t>
      </w:r>
    </w:p>
    <w:p>
      <w:pPr>
        <w:ind w:firstLine="5580" w:firstLineChars="1550"/>
        <w:jc w:val="left"/>
        <w:rPr>
          <w:rFonts w:ascii="思源黑体 CN Bold" w:hAnsi="思源黑体 CN Bold" w:eastAsia="思源黑体 CN Bold" w:cs="黑体"/>
          <w:sz w:val="36"/>
        </w:rPr>
      </w:pPr>
      <w:r>
        <w:rPr>
          <w:rFonts w:hint="eastAsia" w:ascii="思源黑体 CN Bold" w:hAnsi="思源黑体 CN Bold" w:eastAsia="思源黑体 CN Bold" w:cs="黑体"/>
          <w:sz w:val="36"/>
          <w:lang w:eastAsia="zh-CN" w:bidi="ar"/>
        </w:rPr>
        <w:t>2023</w:t>
      </w:r>
      <w:r>
        <w:rPr>
          <w:rFonts w:hint="eastAsia" w:ascii="思源黑体 CN Bold" w:hAnsi="思源黑体 CN Bold" w:eastAsia="思源黑体 CN Bold" w:cs="黑体"/>
          <w:sz w:val="36"/>
          <w:lang w:bidi="ar"/>
        </w:rPr>
        <w:t>年11月</w:t>
      </w:r>
    </w:p>
    <w:p>
      <w:pPr>
        <w:ind w:firstLine="5580" w:firstLineChars="1550"/>
        <w:jc w:val="left"/>
        <w:rPr>
          <w:rFonts w:ascii="思源黑体 CN Bold" w:hAnsi="思源黑体 CN Bold" w:eastAsia="思源黑体 CN Bold" w:cs="黑体"/>
          <w:sz w:val="36"/>
        </w:rPr>
      </w:pPr>
    </w:p>
    <w:p>
      <w:pPr>
        <w:ind w:firstLine="5580" w:firstLineChars="1550"/>
        <w:jc w:val="left"/>
        <w:rPr>
          <w:rFonts w:ascii="思源黑体 CN Bold" w:hAnsi="思源黑体 CN Bold" w:eastAsia="思源黑体 CN Bold" w:cs="黑体"/>
          <w:sz w:val="36"/>
        </w:rPr>
      </w:pPr>
    </w:p>
    <w:p>
      <w:pPr>
        <w:ind w:firstLine="5580" w:firstLineChars="1550"/>
        <w:jc w:val="left"/>
        <w:rPr>
          <w:rFonts w:ascii="思源黑体 CN Bold" w:hAnsi="思源黑体 CN Bold" w:eastAsia="思源黑体 CN Bold" w:cs="黑体"/>
          <w:sz w:val="36"/>
        </w:rPr>
      </w:pPr>
    </w:p>
    <w:p>
      <w:pPr>
        <w:ind w:firstLine="5580" w:firstLineChars="1550"/>
        <w:jc w:val="left"/>
        <w:rPr>
          <w:rFonts w:ascii="思源黑体 CN Bold" w:hAnsi="思源黑体 CN Bold" w:eastAsia="思源黑体 CN Bold" w:cs="黑体"/>
          <w:sz w:val="36"/>
        </w:rPr>
      </w:pPr>
    </w:p>
    <w:p>
      <w:pPr>
        <w:ind w:firstLine="5580" w:firstLineChars="1550"/>
        <w:jc w:val="left"/>
        <w:rPr>
          <w:rFonts w:ascii="思源黑体 CN Bold" w:hAnsi="思源黑体 CN Bold" w:eastAsia="思源黑体 CN Bold" w:cs="黑体"/>
          <w:sz w:val="36"/>
        </w:rPr>
      </w:pPr>
    </w:p>
    <w:p>
      <w:pPr>
        <w:pStyle w:val="3"/>
        <w:widowControl/>
        <w:tabs>
          <w:tab w:val="left" w:pos="640"/>
        </w:tabs>
        <w:jc w:val="center"/>
        <w:rPr>
          <w:rFonts w:ascii="思源黑体 CN Bold" w:hAnsi="思源黑体 CN Bold" w:eastAsia="思源黑体 CN Bold" w:cs="黑体"/>
        </w:rPr>
      </w:pPr>
      <w:r>
        <w:rPr>
          <w:rFonts w:hint="eastAsia" w:ascii="思源黑体 CN Bold" w:hAnsi="思源黑体 CN Bold" w:eastAsia="思源黑体 CN Bold" w:cs="黑体"/>
          <w:color w:val="365F91"/>
        </w:rPr>
        <w:t>目</w:t>
      </w:r>
      <w:r>
        <w:rPr>
          <w:rFonts w:hint="eastAsia" w:ascii="思源黑体 CN Bold" w:hAnsi="思源黑体 CN Bold" w:eastAsia="思源黑体 CN Bold" w:cs="黑体"/>
          <w:color w:val="365F91"/>
        </w:rPr>
        <w:tab/>
      </w:r>
      <w:r>
        <w:rPr>
          <w:rFonts w:hint="eastAsia" w:ascii="思源黑体 CN Bold" w:hAnsi="思源黑体 CN Bold" w:eastAsia="思源黑体 CN Bold" w:cs="黑体"/>
          <w:color w:val="365F91"/>
        </w:rPr>
        <w:t>录</w:t>
      </w:r>
    </w:p>
    <w:p>
      <w:pPr>
        <w:pStyle w:val="11"/>
        <w:widowControl/>
        <w:tabs>
          <w:tab w:val="right" w:leader="dot" w:pos="9629"/>
        </w:tabs>
        <w:spacing w:before="109"/>
        <w:rPr>
          <w:rFonts w:hint="default" w:ascii="思源黑体 CN Bold" w:hAnsi="思源黑体 CN Bold" w:eastAsia="思源黑体 CN Bold" w:cs="黑体"/>
        </w:rPr>
      </w:pPr>
      <w:r>
        <w:fldChar w:fldCharType="begin"/>
      </w:r>
      <w:r>
        <w:instrText xml:space="preserve"> HYPERLINK "file:///C:/Users/Administrator/Desktop/2020年结资料已更新/T+年结资料/1T+年末处理操作手册2020转2021年（普及版）.docx" \l "_bookmark0" </w:instrText>
      </w:r>
      <w:r>
        <w:fldChar w:fldCharType="separate"/>
      </w:r>
      <w:r>
        <w:rPr>
          <w:rStyle w:val="19"/>
          <w:rFonts w:ascii="思源黑体 CN Bold" w:hAnsi="思源黑体 CN Bold" w:eastAsia="思源黑体 CN Bold" w:cs="黑体"/>
          <w:color w:val="auto"/>
          <w:u w:val="none"/>
        </w:rPr>
        <w:t>一、序言</w:t>
      </w:r>
      <w:r>
        <w:rPr>
          <w:rStyle w:val="19"/>
          <w:rFonts w:ascii="思源黑体 CN Bold" w:hAnsi="思源黑体 CN Bold" w:eastAsia="思源黑体 CN Bold" w:cs="黑体"/>
          <w:color w:val="auto"/>
          <w:u w:val="none"/>
        </w:rPr>
        <w:tab/>
      </w:r>
      <w:r>
        <w:rPr>
          <w:rStyle w:val="19"/>
          <w:rFonts w:ascii="思源黑体 CN Bold" w:hAnsi="思源黑体 CN Bold" w:eastAsia="思源黑体 CN Bold" w:cs="黑体"/>
          <w:color w:val="auto"/>
          <w:u w:val="none"/>
        </w:rPr>
        <w:t>3</w:t>
      </w:r>
      <w:r>
        <w:rPr>
          <w:rStyle w:val="19"/>
          <w:rFonts w:ascii="思源黑体 CN Bold" w:hAnsi="思源黑体 CN Bold" w:eastAsia="思源黑体 CN Bold" w:cs="黑体"/>
          <w:color w:val="auto"/>
          <w:u w:val="none"/>
        </w:rPr>
        <w:fldChar w:fldCharType="end"/>
      </w:r>
    </w:p>
    <w:p>
      <w:pPr>
        <w:pStyle w:val="11"/>
        <w:widowControl/>
        <w:tabs>
          <w:tab w:val="right" w:leader="dot" w:pos="9209"/>
        </w:tabs>
        <w:rPr>
          <w:rFonts w:hint="default" w:ascii="思源黑体 CN Bold" w:hAnsi="思源黑体 CN Bold" w:eastAsia="思源黑体 CN Bold" w:cs="黑体"/>
        </w:rPr>
      </w:pPr>
      <w:r>
        <w:fldChar w:fldCharType="begin"/>
      </w:r>
      <w:r>
        <w:instrText xml:space="preserve"> HYPERLINK "file:///C:/Users/Administrator/Desktop/2020年结资料已更新/T+年结资料/1T+年末处理操作手册2020转2021年（普及版）.docx" \l "_bookmark1" </w:instrText>
      </w:r>
      <w:r>
        <w:fldChar w:fldCharType="separate"/>
      </w:r>
      <w:r>
        <w:rPr>
          <w:rStyle w:val="19"/>
          <w:rFonts w:ascii="思源黑体 CN Bold" w:hAnsi="思源黑体 CN Bold" w:eastAsia="思源黑体 CN Bold" w:cs="黑体"/>
          <w:color w:val="auto"/>
          <w:u w:val="none"/>
        </w:rPr>
        <w:t>1、T+年结概念与</w:t>
      </w:r>
      <w:r>
        <w:rPr>
          <w:rStyle w:val="19"/>
          <w:rFonts w:ascii="思源黑体 CN Bold" w:hAnsi="思源黑体 CN Bold" w:eastAsia="思源黑体 CN Bold" w:cs="黑体"/>
          <w:color w:val="auto"/>
          <w:spacing w:val="-13"/>
          <w:u w:val="none"/>
        </w:rPr>
        <w:t xml:space="preserve"> </w:t>
      </w:r>
      <w:r>
        <w:rPr>
          <w:rStyle w:val="19"/>
          <w:rFonts w:ascii="思源黑体 CN Bold" w:hAnsi="思源黑体 CN Bold" w:eastAsia="思源黑体 CN Bold" w:cs="黑体"/>
          <w:color w:val="auto"/>
          <w:u w:val="none"/>
        </w:rPr>
        <w:t>T3，T6</w:t>
      </w:r>
      <w:r>
        <w:rPr>
          <w:rStyle w:val="19"/>
          <w:rFonts w:ascii="思源黑体 CN Bold" w:hAnsi="思源黑体 CN Bold" w:eastAsia="思源黑体 CN Bold" w:cs="黑体"/>
          <w:color w:val="auto"/>
          <w:spacing w:val="-11"/>
          <w:u w:val="none"/>
        </w:rPr>
        <w:t xml:space="preserve"> </w:t>
      </w:r>
      <w:r>
        <w:rPr>
          <w:rStyle w:val="19"/>
          <w:rFonts w:ascii="思源黑体 CN Bold" w:hAnsi="思源黑体 CN Bold" w:eastAsia="思源黑体 CN Bold" w:cs="黑体"/>
          <w:color w:val="auto"/>
          <w:u w:val="none"/>
        </w:rPr>
        <w:t>的区别？</w:t>
      </w:r>
      <w:r>
        <w:rPr>
          <w:rStyle w:val="19"/>
          <w:rFonts w:ascii="思源黑体 CN Bold" w:hAnsi="思源黑体 CN Bold" w:eastAsia="思源黑体 CN Bold" w:cs="黑体"/>
          <w:color w:val="auto"/>
          <w:u w:val="none"/>
        </w:rPr>
        <w:tab/>
      </w:r>
      <w:r>
        <w:rPr>
          <w:rStyle w:val="19"/>
          <w:rFonts w:ascii="思源黑体 CN Bold" w:hAnsi="思源黑体 CN Bold" w:eastAsia="思源黑体 CN Bold" w:cs="黑体"/>
          <w:color w:val="auto"/>
          <w:u w:val="none"/>
        </w:rPr>
        <w:t>3</w:t>
      </w:r>
      <w:r>
        <w:rPr>
          <w:rStyle w:val="19"/>
          <w:rFonts w:ascii="思源黑体 CN Bold" w:hAnsi="思源黑体 CN Bold" w:eastAsia="思源黑体 CN Bold" w:cs="黑体"/>
          <w:color w:val="auto"/>
          <w:u w:val="none"/>
        </w:rPr>
        <w:fldChar w:fldCharType="end"/>
      </w:r>
    </w:p>
    <w:p>
      <w:pPr>
        <w:pStyle w:val="11"/>
        <w:widowControl/>
        <w:tabs>
          <w:tab w:val="right" w:leader="dot" w:pos="9209"/>
        </w:tabs>
        <w:spacing w:before="181"/>
        <w:rPr>
          <w:rFonts w:hint="default" w:ascii="思源黑体 CN Bold" w:hAnsi="思源黑体 CN Bold" w:eastAsia="思源黑体 CN Bold" w:cs="黑体"/>
        </w:rPr>
      </w:pPr>
      <w:r>
        <w:fldChar w:fldCharType="begin"/>
      </w:r>
      <w:r>
        <w:instrText xml:space="preserve"> HYPERLINK "file:///C:/Users/Administrator/Desktop/2020年结资料已更新/T+年结资料/1T+年末处理操作手册2020转2021年（普及版）.docx" \l "_bookmark2" </w:instrText>
      </w:r>
      <w:r>
        <w:fldChar w:fldCharType="separate"/>
      </w:r>
      <w:r>
        <w:rPr>
          <w:rStyle w:val="19"/>
          <w:rFonts w:ascii="思源黑体 CN Bold" w:hAnsi="思源黑体 CN Bold" w:eastAsia="思源黑体 CN Bold" w:cs="黑体"/>
          <w:color w:val="auto"/>
          <w:u w:val="none"/>
        </w:rPr>
        <w:t>2、直接结转和期间结转的区别？</w:t>
      </w:r>
      <w:r>
        <w:rPr>
          <w:rStyle w:val="19"/>
          <w:rFonts w:ascii="思源黑体 CN Bold" w:hAnsi="思源黑体 CN Bold" w:eastAsia="思源黑体 CN Bold" w:cs="黑体"/>
          <w:color w:val="auto"/>
          <w:u w:val="none"/>
        </w:rPr>
        <w:tab/>
      </w:r>
      <w:r>
        <w:rPr>
          <w:rStyle w:val="19"/>
          <w:rFonts w:ascii="思源黑体 CN Bold" w:hAnsi="思源黑体 CN Bold" w:eastAsia="思源黑体 CN Bold" w:cs="黑体"/>
          <w:color w:val="auto"/>
          <w:u w:val="none"/>
        </w:rPr>
        <w:t>3</w:t>
      </w:r>
      <w:r>
        <w:rPr>
          <w:rStyle w:val="19"/>
          <w:rFonts w:ascii="思源黑体 CN Bold" w:hAnsi="思源黑体 CN Bold" w:eastAsia="思源黑体 CN Bold" w:cs="黑体"/>
          <w:color w:val="auto"/>
          <w:u w:val="none"/>
        </w:rPr>
        <w:fldChar w:fldCharType="end"/>
      </w:r>
    </w:p>
    <w:p>
      <w:pPr>
        <w:pStyle w:val="11"/>
        <w:widowControl/>
        <w:tabs>
          <w:tab w:val="right" w:leader="dot" w:pos="9629"/>
        </w:tabs>
        <w:rPr>
          <w:rFonts w:hint="default" w:ascii="思源黑体 CN Bold" w:hAnsi="思源黑体 CN Bold" w:eastAsia="思源黑体 CN Bold" w:cs="黑体"/>
        </w:rPr>
      </w:pPr>
      <w:r>
        <w:fldChar w:fldCharType="begin"/>
      </w:r>
      <w:r>
        <w:instrText xml:space="preserve"> HYPERLINK "file:///C:/Users/Administrator/Desktop/2020年结资料已更新/T+年结资料/1T+年末处理操作手册2020转2021年（普及版）.docx" \l "_bookmark3" </w:instrText>
      </w:r>
      <w:r>
        <w:fldChar w:fldCharType="separate"/>
      </w:r>
      <w:r>
        <w:rPr>
          <w:rStyle w:val="19"/>
          <w:rFonts w:ascii="思源黑体 CN Bold" w:hAnsi="思源黑体 CN Bold" w:eastAsia="思源黑体 CN Bold" w:cs="黑体"/>
          <w:color w:val="auto"/>
          <w:u w:val="none"/>
        </w:rPr>
        <w:t>二、直接结转</w:t>
      </w:r>
      <w:r>
        <w:rPr>
          <w:rStyle w:val="19"/>
          <w:rFonts w:ascii="思源黑体 CN Bold" w:hAnsi="思源黑体 CN Bold" w:eastAsia="思源黑体 CN Bold" w:cs="黑体"/>
          <w:color w:val="auto"/>
          <w:u w:val="none"/>
        </w:rPr>
        <w:tab/>
      </w:r>
      <w:r>
        <w:rPr>
          <w:rStyle w:val="19"/>
          <w:rFonts w:ascii="思源黑体 CN Bold" w:hAnsi="思源黑体 CN Bold" w:eastAsia="思源黑体 CN Bold" w:cs="黑体"/>
          <w:color w:val="auto"/>
          <w:u w:val="none"/>
        </w:rPr>
        <w:t>5</w:t>
      </w:r>
      <w:r>
        <w:rPr>
          <w:rStyle w:val="19"/>
          <w:rFonts w:ascii="思源黑体 CN Bold" w:hAnsi="思源黑体 CN Bold" w:eastAsia="思源黑体 CN Bold" w:cs="黑体"/>
          <w:color w:val="auto"/>
          <w:u w:val="none"/>
        </w:rPr>
        <w:fldChar w:fldCharType="end"/>
      </w:r>
    </w:p>
    <w:p>
      <w:pPr>
        <w:pStyle w:val="11"/>
        <w:widowControl/>
        <w:tabs>
          <w:tab w:val="right" w:leader="dot" w:pos="9209"/>
        </w:tabs>
        <w:rPr>
          <w:rFonts w:hint="default" w:ascii="思源黑体 CN Bold" w:hAnsi="思源黑体 CN Bold" w:eastAsia="思源黑体 CN Bold" w:cs="黑体"/>
        </w:rPr>
      </w:pPr>
      <w:r>
        <w:fldChar w:fldCharType="begin"/>
      </w:r>
      <w:r>
        <w:instrText xml:space="preserve"> HYPERLINK "file:///C:/Users/Administrator/Desktop/2020年结资料已更新/T+年结资料/1T+年末处理操作手册2020转2021年（普及版）.docx" \l "_bookmark4" </w:instrText>
      </w:r>
      <w:r>
        <w:fldChar w:fldCharType="separate"/>
      </w:r>
      <w:r>
        <w:rPr>
          <w:rStyle w:val="19"/>
          <w:rFonts w:ascii="思源黑体 CN Bold" w:hAnsi="思源黑体 CN Bold" w:eastAsia="思源黑体 CN Bold" w:cs="黑体"/>
          <w:color w:val="auto"/>
          <w:u w:val="none"/>
        </w:rPr>
        <w:t>1、第一种方式：直接结账过渡到次年</w:t>
      </w:r>
      <w:r>
        <w:rPr>
          <w:rStyle w:val="19"/>
          <w:rFonts w:ascii="思源黑体 CN Bold" w:hAnsi="思源黑体 CN Bold" w:eastAsia="思源黑体 CN Bold" w:cs="黑体"/>
          <w:color w:val="auto"/>
          <w:u w:val="none"/>
        </w:rPr>
        <w:tab/>
      </w:r>
      <w:r>
        <w:rPr>
          <w:rStyle w:val="19"/>
          <w:rFonts w:ascii="思源黑体 CN Bold" w:hAnsi="思源黑体 CN Bold" w:eastAsia="思源黑体 CN Bold" w:cs="黑体"/>
          <w:color w:val="auto"/>
          <w:u w:val="none"/>
        </w:rPr>
        <w:t>5</w:t>
      </w:r>
      <w:r>
        <w:rPr>
          <w:rStyle w:val="19"/>
          <w:rFonts w:ascii="思源黑体 CN Bold" w:hAnsi="思源黑体 CN Bold" w:eastAsia="思源黑体 CN Bold" w:cs="黑体"/>
          <w:color w:val="auto"/>
          <w:u w:val="none"/>
        </w:rPr>
        <w:fldChar w:fldCharType="end"/>
      </w:r>
    </w:p>
    <w:p>
      <w:pPr>
        <w:pStyle w:val="11"/>
        <w:widowControl/>
        <w:tabs>
          <w:tab w:val="right" w:leader="dot" w:pos="9209"/>
        </w:tabs>
        <w:spacing w:before="181"/>
        <w:rPr>
          <w:rFonts w:hint="default" w:ascii="思源黑体 CN Bold" w:hAnsi="思源黑体 CN Bold" w:eastAsia="思源黑体 CN Bold" w:cs="黑体"/>
        </w:rPr>
      </w:pPr>
      <w:r>
        <w:fldChar w:fldCharType="begin"/>
      </w:r>
      <w:r>
        <w:instrText xml:space="preserve"> HYPERLINK "file:///C:/Users/Administrator/Desktop/2020年结资料已更新/T+年结资料/1T+年末处理操作手册2020转2021年（普及版）.docx" \l "_bookmark5" </w:instrText>
      </w:r>
      <w:r>
        <w:fldChar w:fldCharType="separate"/>
      </w:r>
      <w:r>
        <w:rPr>
          <w:rStyle w:val="19"/>
          <w:rFonts w:ascii="思源黑体 CN Bold" w:hAnsi="思源黑体 CN Bold" w:eastAsia="思源黑体 CN Bold" w:cs="黑体"/>
          <w:color w:val="auto"/>
          <w:u w:val="none"/>
        </w:rPr>
        <w:t>2、第二种方式：新建会计期间</w:t>
      </w:r>
      <w:r>
        <w:rPr>
          <w:rStyle w:val="19"/>
          <w:rFonts w:ascii="思源黑体 CN Bold" w:hAnsi="思源黑体 CN Bold" w:eastAsia="思源黑体 CN Bold" w:cs="黑体"/>
          <w:color w:val="auto"/>
          <w:u w:val="none"/>
        </w:rPr>
        <w:tab/>
      </w:r>
      <w:r>
        <w:rPr>
          <w:rStyle w:val="19"/>
          <w:rFonts w:hint="eastAsia" w:ascii="思源黑体 CN Bold" w:hAnsi="思源黑体 CN Bold" w:eastAsia="思源黑体 CN Bold" w:cs="黑体"/>
          <w:color w:val="auto"/>
          <w:u w:val="none"/>
          <w:lang w:val="en-US" w:eastAsia="zh-CN"/>
        </w:rPr>
        <w:t>7</w:t>
      </w:r>
      <w:r>
        <w:rPr>
          <w:rStyle w:val="19"/>
          <w:rFonts w:ascii="思源黑体 CN Bold" w:hAnsi="思源黑体 CN Bold" w:eastAsia="思源黑体 CN Bold" w:cs="黑体"/>
          <w:color w:val="auto"/>
          <w:u w:val="none"/>
        </w:rPr>
        <w:fldChar w:fldCharType="end"/>
      </w:r>
    </w:p>
    <w:p>
      <w:pPr>
        <w:pStyle w:val="11"/>
        <w:widowControl/>
        <w:tabs>
          <w:tab w:val="right" w:leader="dot" w:pos="9633"/>
        </w:tabs>
        <w:ind w:right="838"/>
        <w:rPr>
          <w:rFonts w:hint="default" w:ascii="思源黑体 CN Bold" w:hAnsi="思源黑体 CN Bold" w:eastAsia="思源黑体 CN Bold" w:cs="黑体"/>
        </w:rPr>
      </w:pPr>
      <w:r>
        <w:fldChar w:fldCharType="begin"/>
      </w:r>
      <w:r>
        <w:instrText xml:space="preserve"> HYPERLINK "file:///C:/Users/Administrator/Desktop/2020年结资料已更新/T+年结资料/1T+年末处理操作手册2020转2021年（普及版）.docx" \l "_bookmark6" </w:instrText>
      </w:r>
      <w:r>
        <w:fldChar w:fldCharType="separate"/>
      </w:r>
      <w:r>
        <w:rPr>
          <w:rStyle w:val="19"/>
          <w:rFonts w:ascii="思源黑体 CN Bold" w:hAnsi="思源黑体 CN Bold" w:eastAsia="思源黑体 CN Bold" w:cs="黑体"/>
          <w:color w:val="auto"/>
          <w:u w:val="none"/>
        </w:rPr>
        <w:t>三、期间结转</w:t>
      </w:r>
      <w:r>
        <w:rPr>
          <w:rStyle w:val="19"/>
          <w:rFonts w:ascii="思源黑体 CN Bold" w:hAnsi="思源黑体 CN Bold" w:eastAsia="思源黑体 CN Bold" w:cs="黑体"/>
          <w:color w:val="auto"/>
          <w:u w:val="none"/>
        </w:rPr>
        <w:tab/>
      </w:r>
      <w:r>
        <w:rPr>
          <w:rStyle w:val="19"/>
          <w:rFonts w:ascii="思源黑体 CN Bold" w:hAnsi="思源黑体 CN Bold" w:eastAsia="思源黑体 CN Bold" w:cs="黑体"/>
          <w:color w:val="auto"/>
          <w:u w:val="none"/>
        </w:rPr>
        <w:t>1</w:t>
      </w:r>
      <w:r>
        <w:rPr>
          <w:rStyle w:val="19"/>
          <w:rFonts w:hint="eastAsia" w:ascii="思源黑体 CN Bold" w:hAnsi="思源黑体 CN Bold" w:eastAsia="思源黑体 CN Bold" w:cs="黑体"/>
          <w:color w:val="auto"/>
          <w:u w:val="none"/>
          <w:lang w:val="en-US" w:eastAsia="zh-CN"/>
        </w:rPr>
        <w:t>0</w:t>
      </w:r>
      <w:r>
        <w:rPr>
          <w:rStyle w:val="19"/>
          <w:rFonts w:ascii="思源黑体 CN Bold" w:hAnsi="思源黑体 CN Bold" w:eastAsia="思源黑体 CN Bold" w:cs="黑体"/>
          <w:color w:val="auto"/>
          <w:u w:val="none"/>
        </w:rPr>
        <w:fldChar w:fldCharType="end"/>
      </w:r>
    </w:p>
    <w:p>
      <w:pPr>
        <w:pStyle w:val="11"/>
        <w:widowControl/>
        <w:tabs>
          <w:tab w:val="right" w:leader="dot" w:pos="9212"/>
        </w:tabs>
        <w:ind w:right="838"/>
        <w:rPr>
          <w:rFonts w:hint="default" w:ascii="思源黑体 CN Bold" w:hAnsi="思源黑体 CN Bold" w:eastAsia="思源黑体 CN Bold" w:cs="黑体"/>
        </w:rPr>
      </w:pPr>
      <w:r>
        <w:fldChar w:fldCharType="begin"/>
      </w:r>
      <w:r>
        <w:instrText xml:space="preserve"> HYPERLINK "file:///C:/Users/Administrator/Desktop/2020年结资料已更新/T+年结资料/1T+年末处理操作手册2020转2021年（普及版）.docx" \l "_bookmark7" </w:instrText>
      </w:r>
      <w:r>
        <w:fldChar w:fldCharType="separate"/>
      </w:r>
      <w:r>
        <w:rPr>
          <w:rStyle w:val="19"/>
          <w:rFonts w:ascii="思源黑体 CN Bold" w:hAnsi="思源黑体 CN Bold" w:eastAsia="思源黑体 CN Bold" w:cs="黑体"/>
          <w:color w:val="auto"/>
          <w:u w:val="none"/>
        </w:rPr>
        <w:t>1、期间结转的步骤</w:t>
      </w:r>
      <w:r>
        <w:rPr>
          <w:rStyle w:val="19"/>
          <w:rFonts w:ascii="思源黑体 CN Bold" w:hAnsi="思源黑体 CN Bold" w:eastAsia="思源黑体 CN Bold" w:cs="黑体"/>
          <w:color w:val="auto"/>
          <w:u w:val="none"/>
        </w:rPr>
        <w:tab/>
      </w:r>
      <w:r>
        <w:rPr>
          <w:rStyle w:val="19"/>
          <w:rFonts w:ascii="思源黑体 CN Bold" w:hAnsi="思源黑体 CN Bold" w:eastAsia="思源黑体 CN Bold" w:cs="黑体"/>
          <w:color w:val="auto"/>
          <w:u w:val="none"/>
        </w:rPr>
        <w:t>1</w:t>
      </w:r>
      <w:r>
        <w:rPr>
          <w:rStyle w:val="19"/>
          <w:rFonts w:hint="eastAsia" w:ascii="思源黑体 CN Bold" w:hAnsi="思源黑体 CN Bold" w:eastAsia="思源黑体 CN Bold" w:cs="黑体"/>
          <w:color w:val="auto"/>
          <w:u w:val="none"/>
          <w:lang w:val="en-US" w:eastAsia="zh-CN"/>
        </w:rPr>
        <w:t>0</w:t>
      </w:r>
      <w:r>
        <w:rPr>
          <w:rStyle w:val="19"/>
          <w:rFonts w:ascii="思源黑体 CN Bold" w:hAnsi="思源黑体 CN Bold" w:eastAsia="思源黑体 CN Bold" w:cs="黑体"/>
          <w:color w:val="auto"/>
          <w:u w:val="none"/>
        </w:rPr>
        <w:fldChar w:fldCharType="end"/>
      </w:r>
    </w:p>
    <w:p>
      <w:pPr>
        <w:pStyle w:val="11"/>
        <w:widowControl/>
        <w:tabs>
          <w:tab w:val="right" w:leader="dot" w:pos="9212"/>
        </w:tabs>
        <w:ind w:right="838"/>
        <w:rPr>
          <w:rFonts w:hint="default" w:ascii="思源黑体 CN Bold" w:hAnsi="思源黑体 CN Bold" w:eastAsia="思源黑体 CN Bold" w:cs="黑体"/>
        </w:rPr>
      </w:pPr>
      <w:r>
        <w:fldChar w:fldCharType="begin"/>
      </w:r>
      <w:r>
        <w:instrText xml:space="preserve"> HYPERLINK "file:///C:/Users/Administrator/Desktop/2020年结资料已更新/T+年结资料/1T+年末处理操作手册2020转2021年（普及版）.docx" \l "_bookmark8" </w:instrText>
      </w:r>
      <w:r>
        <w:fldChar w:fldCharType="separate"/>
      </w:r>
      <w:r>
        <w:rPr>
          <w:rStyle w:val="19"/>
          <w:rFonts w:ascii="思源黑体 CN Bold" w:hAnsi="思源黑体 CN Bold" w:eastAsia="思源黑体 CN Bold" w:cs="黑体"/>
          <w:color w:val="auto"/>
          <w:u w:val="none"/>
        </w:rPr>
        <w:t>2、期间结转前</w:t>
      </w:r>
      <w:r>
        <w:rPr>
          <w:rStyle w:val="19"/>
          <w:rFonts w:ascii="思源黑体 CN Bold" w:hAnsi="思源黑体 CN Bold" w:eastAsia="思源黑体 CN Bold" w:cs="黑体"/>
          <w:color w:val="auto"/>
          <w:u w:val="none"/>
        </w:rPr>
        <w:tab/>
      </w:r>
      <w:r>
        <w:rPr>
          <w:rStyle w:val="19"/>
          <w:rFonts w:ascii="思源黑体 CN Bold" w:hAnsi="思源黑体 CN Bold" w:eastAsia="思源黑体 CN Bold" w:cs="黑体"/>
          <w:color w:val="auto"/>
          <w:u w:val="none"/>
        </w:rPr>
        <w:t>1</w:t>
      </w:r>
      <w:r>
        <w:rPr>
          <w:rStyle w:val="19"/>
          <w:rFonts w:hint="eastAsia" w:ascii="思源黑体 CN Bold" w:hAnsi="思源黑体 CN Bold" w:eastAsia="思源黑体 CN Bold" w:cs="黑体"/>
          <w:color w:val="auto"/>
          <w:u w:val="none"/>
          <w:lang w:val="en-US" w:eastAsia="zh-CN"/>
        </w:rPr>
        <w:t>0</w:t>
      </w:r>
      <w:r>
        <w:rPr>
          <w:rStyle w:val="19"/>
          <w:rFonts w:ascii="思源黑体 CN Bold" w:hAnsi="思源黑体 CN Bold" w:eastAsia="思源黑体 CN Bold" w:cs="黑体"/>
          <w:color w:val="auto"/>
          <w:u w:val="none"/>
        </w:rPr>
        <w:fldChar w:fldCharType="end"/>
      </w:r>
    </w:p>
    <w:p>
      <w:pPr>
        <w:pStyle w:val="11"/>
        <w:widowControl/>
        <w:tabs>
          <w:tab w:val="right" w:leader="dot" w:pos="9212"/>
        </w:tabs>
        <w:spacing w:before="181"/>
        <w:ind w:right="838"/>
        <w:rPr>
          <w:rFonts w:hint="eastAsia" w:ascii="思源黑体 CN Bold" w:hAnsi="思源黑体 CN Bold" w:eastAsia="思源黑体 CN Bold" w:cs="黑体"/>
          <w:lang w:val="en-US" w:eastAsia="zh-CN"/>
        </w:rPr>
      </w:pPr>
      <w:r>
        <w:fldChar w:fldCharType="begin"/>
      </w:r>
      <w:r>
        <w:instrText xml:space="preserve"> HYPERLINK "file:///C:/Users/Administrator/Desktop/2020年结资料已更新/T+年结资料/1T+年末处理操作手册2020转2021年（普及版）.docx" \l "_bookmark9" </w:instrText>
      </w:r>
      <w:r>
        <w:fldChar w:fldCharType="separate"/>
      </w:r>
      <w:r>
        <w:rPr>
          <w:rStyle w:val="19"/>
          <w:rFonts w:ascii="思源黑体 CN Bold" w:hAnsi="思源黑体 CN Bold" w:eastAsia="思源黑体 CN Bold" w:cs="黑体"/>
          <w:color w:val="auto"/>
          <w:u w:val="none"/>
        </w:rPr>
        <w:t>3、期间结转中</w:t>
      </w:r>
      <w:r>
        <w:rPr>
          <w:rStyle w:val="19"/>
          <w:rFonts w:ascii="思源黑体 CN Bold" w:hAnsi="思源黑体 CN Bold" w:eastAsia="思源黑体 CN Bold" w:cs="黑体"/>
          <w:color w:val="auto"/>
          <w:u w:val="none"/>
        </w:rPr>
        <w:tab/>
      </w:r>
      <w:r>
        <w:rPr>
          <w:rStyle w:val="19"/>
          <w:rFonts w:hint="eastAsia" w:ascii="思源黑体 CN Bold" w:hAnsi="思源黑体 CN Bold" w:eastAsia="思源黑体 CN Bold" w:cs="黑体"/>
          <w:color w:val="auto"/>
          <w:u w:val="none"/>
          <w:lang w:val="en-US" w:eastAsia="zh-CN"/>
        </w:rPr>
        <w:t>1</w:t>
      </w:r>
      <w:r>
        <w:rPr>
          <w:rStyle w:val="19"/>
          <w:rFonts w:ascii="思源黑体 CN Bold" w:hAnsi="思源黑体 CN Bold" w:eastAsia="思源黑体 CN Bold" w:cs="黑体"/>
          <w:color w:val="auto"/>
          <w:u w:val="none"/>
        </w:rPr>
        <w:fldChar w:fldCharType="end"/>
      </w:r>
      <w:r>
        <w:rPr>
          <w:rStyle w:val="19"/>
          <w:rFonts w:hint="eastAsia" w:ascii="思源黑体 CN Bold" w:hAnsi="思源黑体 CN Bold" w:eastAsia="思源黑体 CN Bold" w:cs="黑体"/>
          <w:color w:val="auto"/>
          <w:u w:val="none"/>
          <w:lang w:val="en-US" w:eastAsia="zh-CN"/>
        </w:rPr>
        <w:t>6</w:t>
      </w:r>
    </w:p>
    <w:p>
      <w:pPr>
        <w:pStyle w:val="11"/>
        <w:widowControl/>
        <w:tabs>
          <w:tab w:val="right" w:leader="dot" w:pos="9212"/>
        </w:tabs>
        <w:spacing w:before="181"/>
        <w:ind w:right="838"/>
        <w:rPr>
          <w:rFonts w:hint="eastAsia" w:ascii="思源黑体 CN Bold" w:hAnsi="思源黑体 CN Bold" w:eastAsia="思源黑体 CN Bold" w:cs="黑体"/>
          <w:lang w:val="en-US" w:eastAsia="zh-CN"/>
        </w:rPr>
      </w:pPr>
      <w:r>
        <w:fldChar w:fldCharType="begin"/>
      </w:r>
      <w:r>
        <w:instrText xml:space="preserve"> HYPERLINK "file:///C:/Users/Administrator/Desktop/2020年结资料已更新/T+年结资料/1T+年末处理操作手册2020转2021年（普及版）.docx" \l "_bookmark10" </w:instrText>
      </w:r>
      <w:r>
        <w:fldChar w:fldCharType="separate"/>
      </w:r>
      <w:r>
        <w:rPr>
          <w:rStyle w:val="19"/>
          <w:rFonts w:ascii="思源黑体 CN Bold" w:hAnsi="思源黑体 CN Bold" w:eastAsia="思源黑体 CN Bold" w:cs="黑体"/>
          <w:color w:val="auto"/>
          <w:u w:val="none"/>
        </w:rPr>
        <w:t>4、期间结转后</w:t>
      </w:r>
      <w:r>
        <w:rPr>
          <w:rStyle w:val="19"/>
          <w:rFonts w:ascii="思源黑体 CN Bold" w:hAnsi="思源黑体 CN Bold" w:eastAsia="思源黑体 CN Bold" w:cs="黑体"/>
          <w:color w:val="auto"/>
          <w:u w:val="none"/>
        </w:rPr>
        <w:tab/>
      </w:r>
      <w:r>
        <w:rPr>
          <w:rStyle w:val="19"/>
          <w:rFonts w:hint="eastAsia" w:ascii="思源黑体 CN Bold" w:hAnsi="思源黑体 CN Bold" w:eastAsia="思源黑体 CN Bold" w:cs="黑体"/>
          <w:color w:val="auto"/>
          <w:u w:val="none"/>
          <w:lang w:val="en-US" w:eastAsia="zh-CN"/>
        </w:rPr>
        <w:t>1</w:t>
      </w:r>
      <w:r>
        <w:rPr>
          <w:rStyle w:val="19"/>
          <w:rFonts w:ascii="思源黑体 CN Bold" w:hAnsi="思源黑体 CN Bold" w:eastAsia="思源黑体 CN Bold" w:cs="黑体"/>
          <w:color w:val="auto"/>
          <w:u w:val="none"/>
        </w:rPr>
        <w:fldChar w:fldCharType="end"/>
      </w:r>
      <w:r>
        <w:rPr>
          <w:rStyle w:val="19"/>
          <w:rFonts w:hint="eastAsia" w:ascii="思源黑体 CN Bold" w:hAnsi="思源黑体 CN Bold" w:eastAsia="思源黑体 CN Bold" w:cs="黑体"/>
          <w:color w:val="auto"/>
          <w:u w:val="none"/>
          <w:lang w:val="en-US" w:eastAsia="zh-CN"/>
        </w:rPr>
        <w:t>7</w:t>
      </w:r>
    </w:p>
    <w:p>
      <w:pPr>
        <w:pStyle w:val="2"/>
        <w:widowControl/>
        <w:numPr>
          <w:ilvl w:val="0"/>
          <w:numId w:val="1"/>
        </w:numPr>
        <w:rPr>
          <w:rFonts w:ascii="思源黑体 CN Bold" w:hAnsi="思源黑体 CN Bold" w:eastAsia="思源黑体 CN Bold" w:cs="黑体"/>
        </w:rPr>
      </w:pPr>
      <w:r>
        <w:rPr>
          <w:rFonts w:hint="eastAsia" w:ascii="思源黑体 CN Bold" w:hAnsi="思源黑体 CN Bold" w:eastAsia="思源黑体 CN Bold" w:cs="黑体"/>
          <w:lang w:bidi="ar"/>
        </w:rPr>
        <w:br w:type="page"/>
      </w:r>
      <w:r>
        <w:rPr>
          <w:rFonts w:hint="eastAsia" w:ascii="思源黑体 CN Bold" w:hAnsi="思源黑体 CN Bold" w:eastAsia="思源黑体 CN Bold" w:cs="黑体"/>
        </w:rPr>
        <w:t>序言</w:t>
      </w:r>
    </w:p>
    <w:p>
      <w:pPr>
        <w:spacing w:before="1"/>
        <w:rPr>
          <w:rFonts w:ascii="思源黑体 CN Bold" w:hAnsi="思源黑体 CN Bold" w:eastAsia="思源黑体 CN Bold" w:cs="黑体"/>
          <w:b/>
          <w:sz w:val="32"/>
        </w:rPr>
      </w:pPr>
      <w:r>
        <w:rPr>
          <w:rFonts w:hint="eastAsia" w:ascii="思源黑体 CN Bold" w:hAnsi="思源黑体 CN Bold" w:eastAsia="思源黑体 CN Bold" w:cs="黑体"/>
          <w:b/>
          <w:sz w:val="32"/>
          <w:lang w:bidi="ar"/>
        </w:rPr>
        <w:t>1、T+年结概念与 T3，T6 的区别？</w:t>
      </w:r>
    </w:p>
    <w:p>
      <w:pPr>
        <w:pStyle w:val="12"/>
        <w:widowControl w:val="0"/>
        <w:autoSpaceDE w:val="0"/>
        <w:autoSpaceDN w:val="0"/>
        <w:spacing w:before="6" w:beforeAutospacing="0" w:after="0" w:afterAutospacing="0"/>
        <w:ind w:left="900"/>
        <w:rPr>
          <w:rFonts w:ascii="思源黑体 CN Bold" w:hAnsi="思源黑体 CN Bold" w:eastAsia="思源黑体 CN Bold" w:cs="黑体"/>
          <w:b/>
          <w:sz w:val="35"/>
        </w:rPr>
      </w:pPr>
    </w:p>
    <w:p>
      <w:pPr>
        <w:pStyle w:val="12"/>
        <w:widowControl w:val="0"/>
        <w:autoSpaceDE w:val="0"/>
        <w:autoSpaceDN w:val="0"/>
        <w:spacing w:before="0" w:beforeAutospacing="0" w:after="0" w:afterAutospacing="0" w:line="336" w:lineRule="auto"/>
        <w:ind w:left="901" w:leftChars="429" w:right="834" w:firstLine="480" w:firstLineChars="200"/>
        <w:jc w:val="both"/>
        <w:rPr>
          <w:rFonts w:ascii="思源黑体 CN Bold" w:hAnsi="思源黑体 CN Bold" w:eastAsia="思源黑体 CN Bold" w:cs="黑体"/>
        </w:rPr>
      </w:pPr>
      <w:r>
        <w:rPr>
          <w:rFonts w:hint="eastAsia" w:ascii="思源黑体 CN Bold" w:hAnsi="思源黑体 CN Bold" w:eastAsia="思源黑体 CN Bold" w:cs="黑体"/>
          <w:lang w:bidi="ar"/>
        </w:rPr>
        <w:t>在 T＋产品中没有年结概念，用户可以连续将多个年度的数据做在同一账套中。如果在软件使用过程中数据有任何变动都可通过系统管理中的“期间结转”的操作将数据转入到新一账套中继续操作，用户可以在任意已经结账期间进行此项操作。常见的原因有数据量较多或是数据出错等。</w:t>
      </w:r>
    </w:p>
    <w:p>
      <w:pPr>
        <w:pStyle w:val="12"/>
        <w:widowControl w:val="0"/>
        <w:autoSpaceDE w:val="0"/>
        <w:autoSpaceDN w:val="0"/>
        <w:spacing w:before="2" w:beforeAutospacing="0" w:after="0" w:afterAutospacing="0" w:line="336" w:lineRule="auto"/>
        <w:ind w:left="901" w:leftChars="429" w:right="1830" w:firstLine="480" w:firstLineChars="200"/>
        <w:jc w:val="both"/>
        <w:rPr>
          <w:rFonts w:ascii="思源黑体 CN Bold" w:hAnsi="思源黑体 CN Bold" w:eastAsia="思源黑体 CN Bold" w:cs="黑体"/>
        </w:rPr>
      </w:pPr>
      <w:r>
        <w:rPr>
          <w:rFonts w:hint="eastAsia" w:ascii="思源黑体 CN Bold" w:hAnsi="思源黑体 CN Bold" w:eastAsia="思源黑体 CN Bold" w:cs="黑体"/>
          <w:lang w:bidi="ar"/>
        </w:rPr>
        <w:t>T+的年末处理分为直接结转（直接结账和新建会计期间）和期间结转 2 种。直接结转在数据库中不会有单独的数据库，旧年度和新年度在一个数据库中；</w:t>
      </w:r>
    </w:p>
    <w:p>
      <w:pPr>
        <w:pStyle w:val="12"/>
        <w:widowControl w:val="0"/>
        <w:autoSpaceDE w:val="0"/>
        <w:autoSpaceDN w:val="0"/>
        <w:spacing w:before="0" w:beforeAutospacing="0" w:after="0" w:afterAutospacing="0" w:line="336" w:lineRule="auto"/>
        <w:ind w:left="901" w:leftChars="429" w:right="712" w:firstLine="472" w:firstLineChars="200"/>
        <w:jc w:val="both"/>
        <w:rPr>
          <w:rFonts w:ascii="思源黑体 CN Bold" w:hAnsi="思源黑体 CN Bold" w:eastAsia="思源黑体 CN Bold" w:cs="黑体"/>
        </w:rPr>
      </w:pPr>
      <w:r>
        <w:rPr>
          <w:rFonts w:hint="eastAsia" w:ascii="思源黑体 CN Bold" w:hAnsi="思源黑体 CN Bold" w:eastAsia="思源黑体 CN Bold" w:cs="黑体"/>
          <w:spacing w:val="-2"/>
          <w:lang w:bidi="ar"/>
        </w:rPr>
        <w:t xml:space="preserve">而期间结转有点类似 </w:t>
      </w:r>
      <w:r>
        <w:rPr>
          <w:rFonts w:hint="eastAsia" w:ascii="思源黑体 CN Bold" w:hAnsi="思源黑体 CN Bold" w:eastAsia="思源黑体 CN Bold" w:cs="黑体"/>
          <w:lang w:bidi="ar"/>
        </w:rPr>
        <w:t>T3</w:t>
      </w:r>
      <w:r>
        <w:rPr>
          <w:rFonts w:hint="eastAsia" w:ascii="思源黑体 CN Bold" w:hAnsi="思源黑体 CN Bold" w:eastAsia="思源黑体 CN Bold" w:cs="黑体"/>
          <w:spacing w:val="-8"/>
          <w:lang w:bidi="ar"/>
        </w:rPr>
        <w:t xml:space="preserve"> 和 </w:t>
      </w:r>
      <w:r>
        <w:rPr>
          <w:rFonts w:hint="eastAsia" w:ascii="思源黑体 CN Bold" w:hAnsi="思源黑体 CN Bold" w:eastAsia="思源黑体 CN Bold" w:cs="黑体"/>
          <w:lang w:bidi="ar"/>
        </w:rPr>
        <w:t>T6</w:t>
      </w:r>
      <w:r>
        <w:rPr>
          <w:rFonts w:hint="eastAsia" w:ascii="思源黑体 CN Bold" w:hAnsi="思源黑体 CN Bold" w:eastAsia="思源黑体 CN Bold" w:cs="黑体"/>
          <w:spacing w:val="-8"/>
          <w:lang w:bidi="ar"/>
        </w:rPr>
        <w:t xml:space="preserve"> 的年结，期间结转后在数据库中会生成一个新的账套数据</w:t>
      </w:r>
      <w:r>
        <w:rPr>
          <w:rFonts w:hint="eastAsia" w:ascii="思源黑体 CN Bold" w:hAnsi="思源黑体 CN Bold" w:eastAsia="思源黑体 CN Bold" w:cs="黑体"/>
          <w:spacing w:val="-15"/>
          <w:lang w:bidi="ar"/>
        </w:rPr>
        <w:t xml:space="preserve">库，与原数据库是分开的。但它的结转方式和 </w:t>
      </w:r>
      <w:r>
        <w:rPr>
          <w:rFonts w:hint="eastAsia" w:ascii="思源黑体 CN Bold" w:hAnsi="思源黑体 CN Bold" w:eastAsia="思源黑体 CN Bold" w:cs="黑体"/>
          <w:lang w:bidi="ar"/>
        </w:rPr>
        <w:t>T3</w:t>
      </w:r>
      <w:r>
        <w:rPr>
          <w:rFonts w:hint="eastAsia" w:ascii="思源黑体 CN Bold" w:hAnsi="思源黑体 CN Bold" w:eastAsia="思源黑体 CN Bold" w:cs="黑体"/>
          <w:spacing w:val="-8"/>
          <w:lang w:bidi="ar"/>
        </w:rPr>
        <w:t xml:space="preserve"> 与 </w:t>
      </w:r>
      <w:r>
        <w:rPr>
          <w:rFonts w:hint="eastAsia" w:ascii="思源黑体 CN Bold" w:hAnsi="思源黑体 CN Bold" w:eastAsia="思源黑体 CN Bold" w:cs="黑体"/>
          <w:lang w:bidi="ar"/>
        </w:rPr>
        <w:t>T6</w:t>
      </w:r>
      <w:r>
        <w:rPr>
          <w:rFonts w:hint="eastAsia" w:ascii="思源黑体 CN Bold" w:hAnsi="思源黑体 CN Bold" w:eastAsia="思源黑体 CN Bold" w:cs="黑体"/>
          <w:spacing w:val="-11"/>
          <w:lang w:bidi="ar"/>
        </w:rPr>
        <w:t xml:space="preserve"> 有很大的区别，例如最大的一个区别： T</w:t>
      </w:r>
      <w:r>
        <w:rPr>
          <w:rFonts w:hint="eastAsia" w:ascii="思源黑体 CN Bold" w:hAnsi="思源黑体 CN Bold" w:eastAsia="思源黑体 CN Bold" w:cs="黑体"/>
          <w:spacing w:val="-8"/>
          <w:lang w:bidi="ar"/>
        </w:rPr>
        <w:t>+的期间结转可以选择任意一个已经结账的期间进行结转，其他区别本文将一一进行说明。</w:t>
      </w:r>
    </w:p>
    <w:p>
      <w:pPr>
        <w:numPr>
          <w:ilvl w:val="0"/>
          <w:numId w:val="2"/>
        </w:numPr>
        <w:spacing w:before="278"/>
        <w:rPr>
          <w:rFonts w:ascii="思源黑体 CN Bold" w:hAnsi="思源黑体 CN Bold" w:eastAsia="思源黑体 CN Bold" w:cs="黑体"/>
          <w:b/>
          <w:sz w:val="32"/>
        </w:rPr>
      </w:pPr>
      <w:bookmarkStart w:id="0" w:name="_bookmark2"/>
      <w:bookmarkEnd w:id="0"/>
      <w:r>
        <w:rPr>
          <w:rFonts w:hint="eastAsia" w:ascii="思源黑体 CN Bold" w:hAnsi="思源黑体 CN Bold" w:eastAsia="思源黑体 CN Bold" w:cs="黑体"/>
          <w:b/>
          <w:sz w:val="32"/>
          <w:lang w:bidi="ar"/>
        </w:rPr>
        <w:t>直接结转和期间结转的区别？</w:t>
      </w:r>
    </w:p>
    <w:p>
      <w:pPr>
        <w:pStyle w:val="12"/>
        <w:widowControl w:val="0"/>
        <w:autoSpaceDE w:val="0"/>
        <w:autoSpaceDN w:val="0"/>
        <w:spacing w:before="9" w:beforeAutospacing="0" w:after="0" w:afterAutospacing="0"/>
        <w:ind w:left="900"/>
        <w:rPr>
          <w:rFonts w:ascii="思源黑体 CN Bold" w:hAnsi="思源黑体 CN Bold" w:eastAsia="思源黑体 CN Bold" w:cs="黑体"/>
          <w:b/>
          <w:sz w:val="35"/>
        </w:rPr>
      </w:pPr>
    </w:p>
    <w:p>
      <w:pPr>
        <w:pStyle w:val="12"/>
        <w:widowControl w:val="0"/>
        <w:autoSpaceDE w:val="0"/>
        <w:autoSpaceDN w:val="0"/>
        <w:spacing w:before="1" w:beforeAutospacing="0" w:after="0" w:afterAutospacing="0" w:line="336" w:lineRule="auto"/>
        <w:ind w:left="901" w:leftChars="429" w:right="839" w:firstLine="480" w:firstLineChars="200"/>
        <w:jc w:val="both"/>
        <w:rPr>
          <w:rFonts w:ascii="思源黑体 CN Bold" w:hAnsi="思源黑体 CN Bold" w:eastAsia="思源黑体 CN Bold" w:cs="黑体"/>
        </w:rPr>
      </w:pPr>
      <w:r>
        <w:rPr>
          <w:rFonts w:hint="eastAsia" w:ascii="思源黑体 CN Bold" w:hAnsi="思源黑体 CN Bold" w:eastAsia="思源黑体 CN Bold" w:cs="黑体"/>
          <w:lang w:bidi="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658495</wp:posOffset>
                </wp:positionH>
                <wp:positionV relativeFrom="paragraph">
                  <wp:posOffset>1144905</wp:posOffset>
                </wp:positionV>
                <wp:extent cx="6245225" cy="2439035"/>
                <wp:effectExtent l="0" t="0" r="0" b="0"/>
                <wp:wrapNone/>
                <wp:docPr id="3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5225" cy="2439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4"/>
                              <w:tblW w:w="0" w:type="auto"/>
                              <w:tblInd w:w="7" w:type="dxa"/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2097"/>
                              <w:gridCol w:w="3986"/>
                              <w:gridCol w:w="3751"/>
                            </w:tblGrid>
                            <w:tr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660" w:hRule="atLeast"/>
                              </w:trPr>
                              <w:tc>
                                <w:tcPr>
                                  <w:tcW w:w="2097" w:type="dxa"/>
                                  <w:tcBorders>
                                    <w:top w:val="nil"/>
                                    <w:left w:val="nil"/>
                                    <w:bottom w:val="single" w:color="FFFFFF" w:sz="24" w:space="0"/>
                                    <w:right w:val="nil"/>
                                  </w:tcBorders>
                                  <w:shd w:val="clear" w:color="auto" w:fill="4F81BC"/>
                                </w:tcPr>
                                <w:p>
                                  <w:pPr>
                                    <w:pStyle w:val="35"/>
                                    <w:widowControl/>
                                    <w:spacing w:before="89"/>
                                    <w:ind w:left="215"/>
                                    <w:rPr>
                                      <w:rFonts w:hint="default"/>
                                      <w:b/>
                                      <w:i/>
                                      <w:sz w:val="24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cs="微软雅黑"/>
                                      <w:b/>
                                      <w:i/>
                                      <w:color w:val="FFFFFF"/>
                                      <w:sz w:val="24"/>
                                      <w:lang w:eastAsia="en-US" w:bidi="ar"/>
                                    </w:rPr>
                                    <w:t>对比项目</w:t>
                                  </w:r>
                                </w:p>
                              </w:tc>
                              <w:tc>
                                <w:tcPr>
                                  <w:tcW w:w="3986" w:type="dxa"/>
                                  <w:tcBorders>
                                    <w:top w:val="nil"/>
                                    <w:left w:val="nil"/>
                                    <w:bottom w:val="single" w:color="FFFFFF" w:sz="24" w:space="0"/>
                                    <w:right w:val="single" w:color="FFFFFF" w:sz="8" w:space="0"/>
                                  </w:tcBorders>
                                  <w:shd w:val="clear" w:color="auto" w:fill="4F81BC"/>
                                </w:tcPr>
                                <w:p>
                                  <w:pPr>
                                    <w:pStyle w:val="35"/>
                                    <w:widowControl/>
                                    <w:spacing w:before="89"/>
                                    <w:ind w:left="108"/>
                                    <w:rPr>
                                      <w:rFonts w:hint="default"/>
                                      <w:b/>
                                      <w:i/>
                                      <w:sz w:val="24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z w:val="24"/>
                                      <w:lang w:eastAsia="en-US"/>
                                    </w:rPr>
                                    <w:t>期间结转</w:t>
                                  </w:r>
                                </w:p>
                              </w:tc>
                              <w:tc>
                                <w:tcPr>
                                  <w:tcW w:w="3751" w:type="dxa"/>
                                  <w:tcBorders>
                                    <w:top w:val="nil"/>
                                    <w:left w:val="single" w:color="FFFFFF" w:sz="8" w:space="0"/>
                                    <w:bottom w:val="single" w:color="FFFFFF" w:sz="24" w:space="0"/>
                                    <w:right w:val="nil"/>
                                  </w:tcBorders>
                                  <w:shd w:val="clear" w:color="auto" w:fill="4F81BC"/>
                                </w:tcPr>
                                <w:p>
                                  <w:pPr>
                                    <w:pStyle w:val="35"/>
                                    <w:widowControl/>
                                    <w:spacing w:before="89"/>
                                    <w:ind w:left="97"/>
                                    <w:rPr>
                                      <w:rFonts w:hint="default"/>
                                      <w:b/>
                                      <w:i/>
                                      <w:sz w:val="24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z w:val="24"/>
                                      <w:lang w:eastAsia="en-US"/>
                                    </w:rPr>
                                    <w:t>直接结转</w:t>
                                  </w:r>
                                </w:p>
                              </w:tc>
                            </w:tr>
                            <w:tr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120" w:hRule="atLeast"/>
                              </w:trPr>
                              <w:tc>
                                <w:tcPr>
                                  <w:tcW w:w="2097" w:type="dxa"/>
                                  <w:tcBorders>
                                    <w:top w:val="single" w:color="FFFFFF" w:sz="24" w:space="0"/>
                                    <w:left w:val="nil"/>
                                    <w:bottom w:val="nil"/>
                                    <w:right w:val="single" w:color="FFFFFF" w:sz="24" w:space="0"/>
                                  </w:tcBorders>
                                  <w:shd w:val="clear" w:color="auto" w:fill="4F81BC"/>
                                </w:tcPr>
                                <w:p>
                                  <w:pPr>
                                    <w:pStyle w:val="35"/>
                                    <w:widowControl/>
                                    <w:spacing w:before="89"/>
                                    <w:ind w:left="95"/>
                                    <w:rPr>
                                      <w:rFonts w:hint="default"/>
                                      <w:b/>
                                      <w:i/>
                                      <w:sz w:val="24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z w:val="24"/>
                                      <w:lang w:eastAsia="en-US"/>
                                    </w:rPr>
                                    <w:t>优点</w:t>
                                  </w:r>
                                </w:p>
                              </w:tc>
                              <w:tc>
                                <w:tcPr>
                                  <w:tcW w:w="3986" w:type="dxa"/>
                                  <w:tcBorders>
                                    <w:top w:val="single" w:color="FFFFFF" w:sz="24" w:space="0"/>
                                    <w:left w:val="single" w:color="FFFFFF" w:sz="24" w:space="0"/>
                                    <w:bottom w:val="nil"/>
                                    <w:right w:val="single" w:color="FFFFFF" w:sz="8" w:space="0"/>
                                  </w:tcBorders>
                                  <w:shd w:val="clear" w:color="auto" w:fill="A7BEDE"/>
                                </w:tcPr>
                                <w:p>
                                  <w:pPr>
                                    <w:pStyle w:val="35"/>
                                    <w:widowControl/>
                                    <w:spacing w:before="89" w:line="336" w:lineRule="auto"/>
                                    <w:ind w:left="78" w:right="97"/>
                                    <w:jc w:val="both"/>
                                    <w:rPr>
                                      <w:rFonts w:hint="default"/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12"/>
                                      <w:sz w:val="24"/>
                                    </w:rPr>
                                    <w:t>期间结转在</w:t>
                                  </w:r>
                                  <w:r>
                                    <w:rPr>
                                      <w:b/>
                                      <w:i/>
                                      <w:spacing w:val="12"/>
                                      <w:sz w:val="24"/>
                                    </w:rPr>
                                    <w:t>任意一个已结账期间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>都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可以做，在后台数据库中是结转成另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外一个账套，当业务数据量大时，可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以结转到新账套后缩小数据量，从而</w:t>
                                  </w:r>
                                </w:p>
                                <w:p>
                                  <w:pPr>
                                    <w:pStyle w:val="35"/>
                                    <w:widowControl/>
                                    <w:spacing w:before="1"/>
                                    <w:ind w:left="78"/>
                                    <w:rPr>
                                      <w:rFonts w:hint="default"/>
                                      <w:sz w:val="24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sz w:val="24"/>
                                      <w:lang w:eastAsia="en-US"/>
                                    </w:rPr>
                                    <w:t>提高软件运行效率。</w:t>
                                  </w:r>
                                </w:p>
                              </w:tc>
                              <w:tc>
                                <w:tcPr>
                                  <w:tcW w:w="3751" w:type="dxa"/>
                                  <w:tcBorders>
                                    <w:top w:val="single" w:color="FFFFFF" w:sz="24" w:space="0"/>
                                    <w:left w:val="single" w:color="FFFFFF" w:sz="8" w:space="0"/>
                                    <w:bottom w:val="nil"/>
                                    <w:right w:val="nil"/>
                                  </w:tcBorders>
                                  <w:shd w:val="clear" w:color="auto" w:fill="A7BEDE"/>
                                </w:tcPr>
                                <w:p>
                                  <w:pPr>
                                    <w:pStyle w:val="35"/>
                                    <w:widowControl/>
                                    <w:spacing w:before="89"/>
                                    <w:ind w:left="97"/>
                                    <w:rPr>
                                      <w:rFonts w:hint="default"/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当结转错误时，可以反向操作。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12"/>
                              <w:widowControl w:val="0"/>
                              <w:autoSpaceDE w:val="0"/>
                              <w:autoSpaceDN w:val="0"/>
                              <w:spacing w:before="0" w:beforeAutospacing="0" w:after="0" w:afterAutospacing="0" w:line="336" w:lineRule="auto"/>
                              <w:jc w:val="both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51.85pt;margin-top:90.15pt;height:192.05pt;width:491.75pt;mso-position-horizontal-relative:page;z-index:251660288;mso-width-relative:page;mso-height-relative:page;" filled="f" stroked="f" coordsize="21600,21600" o:gfxdata="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Slc4toAAAAMAQAADwAAAAAAAAABACAAAAAiAAAAZHJzL2Rvd25yZXYueG1s&#10;UEsBAhQAFAAAAAgAh07iQMuQud+9AQAAdAMAAA4AAAAAAAAAAQAgAAAAKQEAAGRycy9lMm9Eb2Mu&#10;eG1sUEsFBgAAAAAGAAYAWQEAAFg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14"/>
                        <w:tblW w:w="0" w:type="auto"/>
                        <w:tblInd w:w="7" w:type="dxa"/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2097"/>
                        <w:gridCol w:w="3986"/>
                        <w:gridCol w:w="3751"/>
                      </w:tblGrid>
                      <w:tr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660" w:hRule="atLeast"/>
                        </w:trPr>
                        <w:tc>
                          <w:tcPr>
                            <w:tcW w:w="2097" w:type="dxa"/>
                            <w:tcBorders>
                              <w:top w:val="nil"/>
                              <w:left w:val="nil"/>
                              <w:bottom w:val="single" w:color="FFFFFF" w:sz="24" w:space="0"/>
                              <w:right w:val="nil"/>
                            </w:tcBorders>
                            <w:shd w:val="clear" w:color="auto" w:fill="4F81BC"/>
                          </w:tcPr>
                          <w:p>
                            <w:pPr>
                              <w:pStyle w:val="35"/>
                              <w:widowControl/>
                              <w:spacing w:before="89"/>
                              <w:ind w:left="215"/>
                              <w:rPr>
                                <w:rFonts w:hint="default"/>
                                <w:b/>
                                <w:i/>
                                <w:sz w:val="24"/>
                                <w:lang w:eastAsia="en-US"/>
                              </w:rPr>
                            </w:pPr>
                            <w:r>
                              <w:rPr>
                                <w:rFonts w:cs="微软雅黑"/>
                                <w:b/>
                                <w:i/>
                                <w:color w:val="FFFFFF"/>
                                <w:sz w:val="24"/>
                                <w:lang w:eastAsia="en-US" w:bidi="ar"/>
                              </w:rPr>
                              <w:t>对比项目</w:t>
                            </w:r>
                          </w:p>
                        </w:tc>
                        <w:tc>
                          <w:tcPr>
                            <w:tcW w:w="3986" w:type="dxa"/>
                            <w:tcBorders>
                              <w:top w:val="nil"/>
                              <w:left w:val="nil"/>
                              <w:bottom w:val="single" w:color="FFFFFF" w:sz="24" w:space="0"/>
                              <w:right w:val="single" w:color="FFFFFF" w:sz="8" w:space="0"/>
                            </w:tcBorders>
                            <w:shd w:val="clear" w:color="auto" w:fill="4F81BC"/>
                          </w:tcPr>
                          <w:p>
                            <w:pPr>
                              <w:pStyle w:val="35"/>
                              <w:widowControl/>
                              <w:spacing w:before="89"/>
                              <w:ind w:left="108"/>
                              <w:rPr>
                                <w:rFonts w:hint="default"/>
                                <w:b/>
                                <w:i/>
                                <w:sz w:val="24"/>
                                <w:lang w:eastAsia="en-US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z w:val="24"/>
                                <w:lang w:eastAsia="en-US"/>
                              </w:rPr>
                              <w:t>期间结转</w:t>
                            </w:r>
                          </w:p>
                        </w:tc>
                        <w:tc>
                          <w:tcPr>
                            <w:tcW w:w="3751" w:type="dxa"/>
                            <w:tcBorders>
                              <w:top w:val="nil"/>
                              <w:left w:val="single" w:color="FFFFFF" w:sz="8" w:space="0"/>
                              <w:bottom w:val="single" w:color="FFFFFF" w:sz="24" w:space="0"/>
                              <w:right w:val="nil"/>
                            </w:tcBorders>
                            <w:shd w:val="clear" w:color="auto" w:fill="4F81BC"/>
                          </w:tcPr>
                          <w:p>
                            <w:pPr>
                              <w:pStyle w:val="35"/>
                              <w:widowControl/>
                              <w:spacing w:before="89"/>
                              <w:ind w:left="97"/>
                              <w:rPr>
                                <w:rFonts w:hint="default"/>
                                <w:b/>
                                <w:i/>
                                <w:sz w:val="24"/>
                                <w:lang w:eastAsia="en-US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z w:val="24"/>
                                <w:lang w:eastAsia="en-US"/>
                              </w:rPr>
                              <w:t>直接结转</w:t>
                            </w:r>
                          </w:p>
                        </w:tc>
                      </w:tr>
                      <w:tr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120" w:hRule="atLeast"/>
                        </w:trPr>
                        <w:tc>
                          <w:tcPr>
                            <w:tcW w:w="2097" w:type="dxa"/>
                            <w:tcBorders>
                              <w:top w:val="single" w:color="FFFFFF" w:sz="24" w:space="0"/>
                              <w:left w:val="nil"/>
                              <w:bottom w:val="nil"/>
                              <w:right w:val="single" w:color="FFFFFF" w:sz="24" w:space="0"/>
                            </w:tcBorders>
                            <w:shd w:val="clear" w:color="auto" w:fill="4F81BC"/>
                          </w:tcPr>
                          <w:p>
                            <w:pPr>
                              <w:pStyle w:val="35"/>
                              <w:widowControl/>
                              <w:spacing w:before="89"/>
                              <w:ind w:left="95"/>
                              <w:rPr>
                                <w:rFonts w:hint="default"/>
                                <w:b/>
                                <w:i/>
                                <w:sz w:val="24"/>
                                <w:lang w:eastAsia="en-US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z w:val="24"/>
                                <w:lang w:eastAsia="en-US"/>
                              </w:rPr>
                              <w:t>优点</w:t>
                            </w:r>
                          </w:p>
                        </w:tc>
                        <w:tc>
                          <w:tcPr>
                            <w:tcW w:w="3986" w:type="dxa"/>
                            <w:tcBorders>
                              <w:top w:val="single" w:color="FFFFFF" w:sz="24" w:space="0"/>
                              <w:left w:val="single" w:color="FFFFFF" w:sz="24" w:space="0"/>
                              <w:bottom w:val="nil"/>
                              <w:right w:val="single" w:color="FFFFFF" w:sz="8" w:space="0"/>
                            </w:tcBorders>
                            <w:shd w:val="clear" w:color="auto" w:fill="A7BEDE"/>
                          </w:tcPr>
                          <w:p>
                            <w:pPr>
                              <w:pStyle w:val="35"/>
                              <w:widowControl/>
                              <w:spacing w:before="89" w:line="336" w:lineRule="auto"/>
                              <w:ind w:left="78" w:right="97"/>
                              <w:jc w:val="both"/>
                              <w:rPr>
                                <w:rFonts w:hint="default"/>
                                <w:sz w:val="24"/>
                              </w:rPr>
                            </w:pPr>
                            <w:r>
                              <w:rPr>
                                <w:spacing w:val="12"/>
                                <w:sz w:val="24"/>
                              </w:rPr>
                              <w:t>期间结转在</w:t>
                            </w:r>
                            <w:r>
                              <w:rPr>
                                <w:b/>
                                <w:i/>
                                <w:spacing w:val="12"/>
                                <w:sz w:val="24"/>
                              </w:rPr>
                              <w:t>任意一个已结账期间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>都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可以做，在后台数据库中是结转成另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外一个账套，当业务数据量大时，可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以结转到新账套后缩小数据量，从而</w:t>
                            </w:r>
                          </w:p>
                          <w:p>
                            <w:pPr>
                              <w:pStyle w:val="35"/>
                              <w:widowControl/>
                              <w:spacing w:before="1"/>
                              <w:ind w:left="78"/>
                              <w:rPr>
                                <w:rFonts w:hint="default"/>
                                <w:sz w:val="24"/>
                                <w:lang w:eastAsia="en-US"/>
                              </w:rPr>
                            </w:pPr>
                            <w:r>
                              <w:rPr>
                                <w:sz w:val="24"/>
                                <w:lang w:eastAsia="en-US"/>
                              </w:rPr>
                              <w:t>提高软件运行效率。</w:t>
                            </w:r>
                          </w:p>
                        </w:tc>
                        <w:tc>
                          <w:tcPr>
                            <w:tcW w:w="3751" w:type="dxa"/>
                            <w:tcBorders>
                              <w:top w:val="single" w:color="FFFFFF" w:sz="24" w:space="0"/>
                              <w:left w:val="single" w:color="FFFFFF" w:sz="8" w:space="0"/>
                              <w:bottom w:val="nil"/>
                              <w:right w:val="nil"/>
                            </w:tcBorders>
                            <w:shd w:val="clear" w:color="auto" w:fill="A7BEDE"/>
                          </w:tcPr>
                          <w:p>
                            <w:pPr>
                              <w:pStyle w:val="35"/>
                              <w:widowControl/>
                              <w:spacing w:before="89"/>
                              <w:ind w:left="97"/>
                              <w:rPr>
                                <w:rFonts w:hint="default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当结转错误时，可以反向操作。</w:t>
                            </w:r>
                          </w:p>
                        </w:tc>
                      </w:tr>
                    </w:tbl>
                    <w:p>
                      <w:pPr>
                        <w:pStyle w:val="12"/>
                        <w:widowControl w:val="0"/>
                        <w:autoSpaceDE w:val="0"/>
                        <w:autoSpaceDN w:val="0"/>
                        <w:spacing w:before="0" w:beforeAutospacing="0" w:after="0" w:afterAutospacing="0" w:line="336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思源黑体 CN Bold" w:hAnsi="思源黑体 CN Bold" w:eastAsia="思源黑体 CN Bold" w:cs="黑体"/>
        </w:rPr>
        <w:t>直接结转分为直接结账过渡到次年和新建会计期间过渡到次年，在数据库后台中是同一个数据库，期间结转需要进行期间结转的操作，在数据库后台中期间结转后会生成另外一个新的数据库。直接结转和期间结转具体的区别如下表所示：</w:t>
      </w:r>
    </w:p>
    <w:p>
      <w:pPr>
        <w:spacing w:line="336" w:lineRule="auto"/>
        <w:rPr>
          <w:rFonts w:ascii="思源黑体 CN Bold" w:hAnsi="思源黑体 CN Bold" w:eastAsia="思源黑体 CN Bold" w:cs="黑体"/>
          <w:lang w:bidi="ar"/>
        </w:rPr>
        <w:sectPr>
          <w:headerReference r:id="rId3" w:type="default"/>
          <w:footerReference r:id="rId4" w:type="default"/>
          <w:footerReference r:id="rId5" w:type="even"/>
          <w:pgSz w:w="11910" w:h="16840"/>
          <w:pgMar w:top="980" w:right="300" w:bottom="740" w:left="920" w:header="272" w:footer="471" w:gutter="0"/>
          <w:cols w:space="425" w:num="1"/>
          <w:docGrid w:type="lines" w:linePitch="312" w:charSpace="0"/>
        </w:sectPr>
      </w:pPr>
    </w:p>
    <w:tbl>
      <w:tblPr>
        <w:tblStyle w:val="14"/>
        <w:tblW w:w="9840" w:type="dxa"/>
        <w:tblInd w:w="121" w:type="dxa"/>
        <w:tblBorders>
          <w:top w:val="single" w:color="FFFFFF" w:sz="12" w:space="0"/>
          <w:left w:val="single" w:color="FFFFFF" w:sz="12" w:space="0"/>
          <w:bottom w:val="single" w:color="FFFFFF" w:sz="12" w:space="0"/>
          <w:right w:val="single" w:color="FFFFFF" w:sz="12" w:space="0"/>
          <w:insideH w:val="single" w:color="FFFFFF" w:sz="12" w:space="0"/>
          <w:insideV w:val="single" w:color="FFFFFF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99"/>
        <w:gridCol w:w="3988"/>
        <w:gridCol w:w="3753"/>
      </w:tblGrid>
      <w:tr>
        <w:tblPrEx>
          <w:tblBorders>
            <w:top w:val="single" w:color="FFFFFF" w:sz="12" w:space="0"/>
            <w:left w:val="single" w:color="FFFFFF" w:sz="12" w:space="0"/>
            <w:bottom w:val="single" w:color="FFFFFF" w:sz="12" w:space="0"/>
            <w:right w:val="single" w:color="FFFFFF" w:sz="12" w:space="0"/>
            <w:insideH w:val="single" w:color="FFFFFF" w:sz="12" w:space="0"/>
            <w:insideV w:val="single" w:color="FFFFFF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9" w:hRule="atLeast"/>
        </w:trPr>
        <w:tc>
          <w:tcPr>
            <w:tcW w:w="2099" w:type="dxa"/>
            <w:tcBorders>
              <w:top w:val="nil"/>
              <w:left w:val="nil"/>
              <w:bottom w:val="single" w:color="FFFFFF" w:sz="12" w:space="0"/>
              <w:right w:val="single" w:color="FFFFFF" w:sz="24" w:space="0"/>
            </w:tcBorders>
            <w:shd w:val="clear" w:color="auto" w:fill="4F81BC"/>
          </w:tcPr>
          <w:p>
            <w:pPr>
              <w:pStyle w:val="35"/>
              <w:widowControl/>
              <w:spacing w:before="89"/>
              <w:ind w:left="98"/>
              <w:rPr>
                <w:rFonts w:hint="default" w:ascii="思源黑体 CN Bold" w:hAnsi="思源黑体 CN Bold" w:eastAsia="思源黑体 CN Bold" w:cs="黑体"/>
                <w:b/>
                <w:i/>
                <w:sz w:val="24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b/>
                <w:i/>
                <w:color w:val="FFFFFF"/>
                <w:sz w:val="24"/>
                <w:lang w:eastAsia="en-US"/>
              </w:rPr>
              <w:t>缺点</w:t>
            </w:r>
          </w:p>
        </w:tc>
        <w:tc>
          <w:tcPr>
            <w:tcW w:w="3986" w:type="dxa"/>
            <w:tcBorders>
              <w:top w:val="nil"/>
              <w:left w:val="single" w:color="FFFFFF" w:sz="24" w:space="0"/>
              <w:bottom w:val="single" w:color="FFFFFF" w:sz="12" w:space="0"/>
              <w:right w:val="single" w:color="FFFFFF" w:sz="8" w:space="0"/>
            </w:tcBorders>
            <w:shd w:val="clear" w:color="auto" w:fill="D2DFED"/>
          </w:tcPr>
          <w:p>
            <w:pPr>
              <w:pStyle w:val="35"/>
              <w:widowControl/>
              <w:spacing w:before="89" w:line="336" w:lineRule="auto"/>
              <w:ind w:left="79" w:right="84"/>
              <w:jc w:val="both"/>
              <w:rPr>
                <w:rFonts w:hint="default" w:ascii="思源黑体 CN Bold" w:hAnsi="思源黑体 CN Bold" w:eastAsia="思源黑体 CN Bold" w:cs="黑体"/>
                <w:sz w:val="24"/>
              </w:rPr>
            </w:pPr>
            <w:r>
              <w:rPr>
                <w:rFonts w:ascii="思源黑体 CN Bold" w:hAnsi="思源黑体 CN Bold" w:eastAsia="思源黑体 CN Bold" w:cs="黑体"/>
                <w:spacing w:val="-8"/>
                <w:sz w:val="24"/>
              </w:rPr>
              <w:t>原账套只能查询，不能新增业务，也</w:t>
            </w:r>
            <w:r>
              <w:rPr>
                <w:rFonts w:ascii="思源黑体 CN Bold" w:hAnsi="思源黑体 CN Bold" w:eastAsia="思源黑体 CN Bold" w:cs="黑体"/>
                <w:spacing w:val="-12"/>
                <w:sz w:val="24"/>
              </w:rPr>
              <w:t>不能反期间结转</w:t>
            </w:r>
            <w:r>
              <w:rPr>
                <w:rFonts w:ascii="思源黑体 CN Bold" w:hAnsi="思源黑体 CN Bold" w:eastAsia="思源黑体 CN Bold" w:cs="黑体"/>
                <w:sz w:val="24"/>
              </w:rPr>
              <w:t>（</w:t>
            </w:r>
            <w:r>
              <w:rPr>
                <w:rFonts w:ascii="思源黑体 CN Bold" w:hAnsi="思源黑体 CN Bold" w:eastAsia="思源黑体 CN Bold" w:cs="黑体"/>
                <w:spacing w:val="-6"/>
                <w:sz w:val="24"/>
              </w:rPr>
              <w:t>注意：反期间结转</w:t>
            </w:r>
            <w:r>
              <w:rPr>
                <w:rFonts w:ascii="思源黑体 CN Bold" w:hAnsi="思源黑体 CN Bold" w:eastAsia="思源黑体 CN Bold" w:cs="黑体"/>
                <w:spacing w:val="10"/>
                <w:sz w:val="24"/>
              </w:rPr>
              <w:t>操作目前只能通过恢复期间结账前</w:t>
            </w:r>
          </w:p>
          <w:p>
            <w:pPr>
              <w:pStyle w:val="35"/>
              <w:widowControl/>
              <w:spacing w:line="441" w:lineRule="exact"/>
              <w:ind w:left="79"/>
              <w:jc w:val="both"/>
              <w:rPr>
                <w:rFonts w:hint="default" w:ascii="思源黑体 CN Bold" w:hAnsi="思源黑体 CN Bold" w:eastAsia="思源黑体 CN Bold" w:cs="黑体"/>
                <w:sz w:val="24"/>
              </w:rPr>
            </w:pPr>
            <w:r>
              <w:rPr>
                <w:rFonts w:ascii="思源黑体 CN Bold" w:hAnsi="思源黑体 CN Bold" w:eastAsia="思源黑体 CN Bold" w:cs="黑体"/>
                <w:sz w:val="24"/>
              </w:rPr>
              <w:t>的备份账套来实现） 。</w:t>
            </w:r>
          </w:p>
        </w:tc>
        <w:tc>
          <w:tcPr>
            <w:tcW w:w="3751" w:type="dxa"/>
            <w:tcBorders>
              <w:top w:val="nil"/>
              <w:left w:val="single" w:color="FFFFFF" w:sz="8" w:space="0"/>
              <w:bottom w:val="single" w:color="FFFFFF" w:sz="12" w:space="0"/>
              <w:right w:val="nil"/>
            </w:tcBorders>
            <w:shd w:val="clear" w:color="auto" w:fill="D2DFED"/>
          </w:tcPr>
          <w:p>
            <w:pPr>
              <w:pStyle w:val="35"/>
              <w:widowControl/>
              <w:spacing w:before="89" w:line="336" w:lineRule="auto"/>
              <w:ind w:left="98" w:right="81"/>
              <w:jc w:val="both"/>
              <w:rPr>
                <w:rFonts w:hint="default" w:ascii="思源黑体 CN Bold" w:hAnsi="思源黑体 CN Bold" w:eastAsia="思源黑体 CN Bold" w:cs="黑体"/>
                <w:sz w:val="24"/>
              </w:rPr>
            </w:pPr>
            <w:r>
              <w:rPr>
                <w:rFonts w:ascii="思源黑体 CN Bold" w:hAnsi="思源黑体 CN Bold" w:eastAsia="思源黑体 CN Bold" w:cs="黑体"/>
                <w:sz w:val="24"/>
              </w:rPr>
              <w:t>直接结转是直接在本账套中增加一个会计期间，当业务数据量大时，运行效率可能会比较慢。</w:t>
            </w:r>
          </w:p>
        </w:tc>
      </w:tr>
      <w:tr>
        <w:tblPrEx>
          <w:tblBorders>
            <w:top w:val="single" w:color="FFFFFF" w:sz="12" w:space="0"/>
            <w:left w:val="single" w:color="FFFFFF" w:sz="12" w:space="0"/>
            <w:bottom w:val="single" w:color="FFFFFF" w:sz="12" w:space="0"/>
            <w:right w:val="single" w:color="FFFFFF" w:sz="12" w:space="0"/>
            <w:insideH w:val="single" w:color="FFFFFF" w:sz="12" w:space="0"/>
            <w:insideV w:val="single" w:color="FFFFFF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3" w:hRule="atLeast"/>
        </w:trPr>
        <w:tc>
          <w:tcPr>
            <w:tcW w:w="2099" w:type="dxa"/>
            <w:tcBorders>
              <w:top w:val="single" w:color="FFFFFF" w:sz="12" w:space="0"/>
              <w:left w:val="nil"/>
              <w:bottom w:val="single" w:color="FFFFFF" w:sz="8" w:space="0"/>
              <w:right w:val="single" w:color="FFFFFF" w:sz="24" w:space="0"/>
            </w:tcBorders>
            <w:shd w:val="clear" w:color="auto" w:fill="4F81BC"/>
          </w:tcPr>
          <w:p>
            <w:pPr>
              <w:pStyle w:val="35"/>
              <w:widowControl/>
              <w:spacing w:before="84"/>
              <w:ind w:left="98"/>
              <w:rPr>
                <w:rFonts w:hint="default" w:ascii="思源黑体 CN Bold" w:hAnsi="思源黑体 CN Bold" w:eastAsia="思源黑体 CN Bold" w:cs="黑体"/>
                <w:b/>
                <w:i/>
                <w:sz w:val="24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b/>
                <w:i/>
                <w:color w:val="FFFFFF"/>
                <w:sz w:val="24"/>
                <w:lang w:eastAsia="en-US"/>
              </w:rPr>
              <w:t>结转操作员</w:t>
            </w:r>
          </w:p>
        </w:tc>
        <w:tc>
          <w:tcPr>
            <w:tcW w:w="3986" w:type="dxa"/>
            <w:tcBorders>
              <w:top w:val="single" w:color="FFFFFF" w:sz="12" w:space="0"/>
              <w:left w:val="single" w:color="FFFFFF" w:sz="24" w:space="0"/>
              <w:bottom w:val="single" w:color="FFFFFF" w:sz="8" w:space="0"/>
              <w:right w:val="single" w:color="FFFFFF" w:sz="8" w:space="0"/>
            </w:tcBorders>
            <w:shd w:val="clear" w:color="auto" w:fill="A7BEDE"/>
          </w:tcPr>
          <w:p>
            <w:pPr>
              <w:pStyle w:val="35"/>
              <w:widowControl/>
              <w:spacing w:before="84"/>
              <w:ind w:left="79"/>
              <w:rPr>
                <w:rFonts w:hint="default" w:ascii="思源黑体 CN Bold" w:hAnsi="思源黑体 CN Bold" w:eastAsia="思源黑体 CN Bold" w:cs="黑体"/>
                <w:sz w:val="24"/>
              </w:rPr>
            </w:pPr>
            <w:r>
              <w:rPr>
                <w:rFonts w:ascii="思源黑体 CN Bold" w:hAnsi="思源黑体 CN Bold" w:eastAsia="思源黑体 CN Bold" w:cs="黑体"/>
                <w:sz w:val="24"/>
              </w:rPr>
              <w:t>Admin 登录系统管理在账套维护中</w:t>
            </w:r>
          </w:p>
          <w:p>
            <w:pPr>
              <w:pStyle w:val="35"/>
              <w:widowControl/>
              <w:spacing w:before="182"/>
              <w:ind w:left="79"/>
              <w:rPr>
                <w:rFonts w:hint="default" w:ascii="思源黑体 CN Bold" w:hAnsi="思源黑体 CN Bold" w:eastAsia="思源黑体 CN Bold" w:cs="黑体"/>
                <w:sz w:val="24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sz w:val="24"/>
                <w:lang w:eastAsia="en-US"/>
              </w:rPr>
              <w:t>进行期间结转。</w:t>
            </w:r>
          </w:p>
        </w:tc>
        <w:tc>
          <w:tcPr>
            <w:tcW w:w="3751" w:type="dxa"/>
            <w:tcBorders>
              <w:top w:val="single" w:color="FFFFFF" w:sz="12" w:space="0"/>
              <w:left w:val="single" w:color="FFFFFF" w:sz="8" w:space="0"/>
              <w:bottom w:val="single" w:color="FFFFFF" w:sz="8" w:space="0"/>
              <w:right w:val="nil"/>
            </w:tcBorders>
            <w:shd w:val="clear" w:color="auto" w:fill="A7BEDE"/>
          </w:tcPr>
          <w:p>
            <w:pPr>
              <w:pStyle w:val="35"/>
              <w:widowControl/>
              <w:spacing w:before="84"/>
              <w:ind w:left="98"/>
              <w:rPr>
                <w:rFonts w:hint="default" w:ascii="思源黑体 CN Bold" w:hAnsi="思源黑体 CN Bold" w:eastAsia="思源黑体 CN Bold" w:cs="黑体"/>
                <w:sz w:val="24"/>
              </w:rPr>
            </w:pPr>
            <w:r>
              <w:rPr>
                <w:rFonts w:ascii="思源黑体 CN Bold" w:hAnsi="思源黑体 CN Bold" w:eastAsia="思源黑体 CN Bold" w:cs="黑体"/>
                <w:sz w:val="24"/>
              </w:rPr>
              <w:t>账套主管登录软件进直接结账或</w:t>
            </w:r>
          </w:p>
          <w:p>
            <w:pPr>
              <w:pStyle w:val="35"/>
              <w:widowControl/>
              <w:spacing w:before="182"/>
              <w:ind w:left="98"/>
              <w:rPr>
                <w:rFonts w:hint="default" w:ascii="思源黑体 CN Bold" w:hAnsi="思源黑体 CN Bold" w:eastAsia="思源黑体 CN Bold" w:cs="黑体"/>
                <w:sz w:val="24"/>
              </w:rPr>
            </w:pPr>
            <w:r>
              <w:rPr>
                <w:rFonts w:ascii="思源黑体 CN Bold" w:hAnsi="思源黑体 CN Bold" w:eastAsia="思源黑体 CN Bold" w:cs="黑体"/>
                <w:sz w:val="24"/>
              </w:rPr>
              <w:t>者新建会计期间的操作。</w:t>
            </w:r>
          </w:p>
        </w:tc>
      </w:tr>
      <w:tr>
        <w:tblPrEx>
          <w:tblBorders>
            <w:top w:val="single" w:color="FFFFFF" w:sz="12" w:space="0"/>
            <w:left w:val="single" w:color="FFFFFF" w:sz="12" w:space="0"/>
            <w:bottom w:val="single" w:color="FFFFFF" w:sz="12" w:space="0"/>
            <w:right w:val="single" w:color="FFFFFF" w:sz="12" w:space="0"/>
            <w:insideH w:val="single" w:color="FFFFFF" w:sz="12" w:space="0"/>
            <w:insideV w:val="single" w:color="FFFFFF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1" w:hRule="atLeast"/>
        </w:trPr>
        <w:tc>
          <w:tcPr>
            <w:tcW w:w="2099" w:type="dxa"/>
            <w:tcBorders>
              <w:top w:val="single" w:color="FFFFFF" w:sz="8" w:space="0"/>
              <w:left w:val="nil"/>
              <w:bottom w:val="single" w:color="FFFFFF" w:sz="8" w:space="0"/>
              <w:right w:val="single" w:color="FFFFFF" w:sz="24" w:space="0"/>
            </w:tcBorders>
            <w:shd w:val="clear" w:color="auto" w:fill="4F81BC"/>
          </w:tcPr>
          <w:p>
            <w:pPr>
              <w:pStyle w:val="35"/>
              <w:widowControl/>
              <w:spacing w:before="88"/>
              <w:ind w:left="98"/>
              <w:rPr>
                <w:rFonts w:hint="default" w:ascii="思源黑体 CN Bold" w:hAnsi="思源黑体 CN Bold" w:eastAsia="思源黑体 CN Bold" w:cs="黑体"/>
                <w:b/>
                <w:i/>
                <w:sz w:val="24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b/>
                <w:i/>
                <w:color w:val="FFFFFF"/>
                <w:sz w:val="24"/>
                <w:lang w:eastAsia="en-US"/>
              </w:rPr>
              <w:t>关于期初数据</w:t>
            </w:r>
          </w:p>
        </w:tc>
        <w:tc>
          <w:tcPr>
            <w:tcW w:w="3986" w:type="dxa"/>
            <w:tcBorders>
              <w:top w:val="single" w:color="FFFFFF" w:sz="8" w:space="0"/>
              <w:left w:val="single" w:color="FFFFFF" w:sz="24" w:space="0"/>
              <w:bottom w:val="single" w:color="FFFFFF" w:sz="8" w:space="0"/>
              <w:right w:val="single" w:color="FFFFFF" w:sz="8" w:space="0"/>
            </w:tcBorders>
            <w:shd w:val="clear" w:color="auto" w:fill="D2DFED"/>
          </w:tcPr>
          <w:p>
            <w:pPr>
              <w:pStyle w:val="35"/>
              <w:widowControl/>
              <w:spacing w:before="88" w:line="336" w:lineRule="auto"/>
              <w:ind w:left="79" w:right="84"/>
              <w:rPr>
                <w:rFonts w:hint="default" w:ascii="思源黑体 CN Bold" w:hAnsi="思源黑体 CN Bold" w:eastAsia="思源黑体 CN Bold" w:cs="黑体"/>
                <w:sz w:val="24"/>
              </w:rPr>
            </w:pPr>
            <w:r>
              <w:rPr>
                <w:rFonts w:ascii="思源黑体 CN Bold" w:hAnsi="思源黑体 CN Bold" w:eastAsia="思源黑体 CN Bold" w:cs="黑体"/>
                <w:sz w:val="24"/>
              </w:rPr>
              <w:t>一般情况为选择的期间结转对应月份的原账套的期末余额。</w:t>
            </w:r>
          </w:p>
        </w:tc>
        <w:tc>
          <w:tcPr>
            <w:tcW w:w="3751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nil"/>
            </w:tcBorders>
            <w:shd w:val="clear" w:color="auto" w:fill="D2DFED"/>
          </w:tcPr>
          <w:p>
            <w:pPr>
              <w:pStyle w:val="35"/>
              <w:widowControl/>
              <w:spacing w:before="88"/>
              <w:ind w:left="98"/>
              <w:rPr>
                <w:rFonts w:hint="default" w:ascii="思源黑体 CN Bold" w:hAnsi="思源黑体 CN Bold" w:eastAsia="思源黑体 CN Bold" w:cs="黑体"/>
                <w:sz w:val="24"/>
              </w:rPr>
            </w:pPr>
            <w:r>
              <w:rPr>
                <w:rFonts w:ascii="思源黑体 CN Bold" w:hAnsi="思源黑体 CN Bold" w:eastAsia="思源黑体 CN Bold" w:cs="黑体"/>
                <w:sz w:val="24"/>
              </w:rPr>
              <w:t>科目期初余额为上年度期未余额，</w:t>
            </w:r>
          </w:p>
          <w:p>
            <w:pPr>
              <w:pStyle w:val="35"/>
              <w:widowControl/>
              <w:spacing w:before="5" w:line="620" w:lineRule="atLeast"/>
              <w:ind w:left="98" w:right="81"/>
              <w:rPr>
                <w:rFonts w:hint="default" w:ascii="思源黑体 CN Bold" w:hAnsi="思源黑体 CN Bold" w:eastAsia="思源黑体 CN Bold" w:cs="黑体"/>
                <w:sz w:val="24"/>
              </w:rPr>
            </w:pPr>
            <w:r>
              <w:rPr>
                <w:rFonts w:ascii="思源黑体 CN Bold" w:hAnsi="思源黑体 CN Bold" w:eastAsia="思源黑体 CN Bold" w:cs="黑体"/>
                <w:sz w:val="24"/>
              </w:rPr>
              <w:t>其他期初余额仍为建立和启用账套时的期初余额。</w:t>
            </w:r>
          </w:p>
        </w:tc>
      </w:tr>
      <w:tr>
        <w:tblPrEx>
          <w:tblBorders>
            <w:top w:val="single" w:color="FFFFFF" w:sz="12" w:space="0"/>
            <w:left w:val="single" w:color="FFFFFF" w:sz="12" w:space="0"/>
            <w:bottom w:val="single" w:color="FFFFFF" w:sz="12" w:space="0"/>
            <w:right w:val="single" w:color="FFFFFF" w:sz="12" w:space="0"/>
            <w:insideH w:val="single" w:color="FFFFFF" w:sz="12" w:space="0"/>
            <w:insideV w:val="single" w:color="FFFFFF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9" w:hRule="atLeast"/>
        </w:trPr>
        <w:tc>
          <w:tcPr>
            <w:tcW w:w="2099" w:type="dxa"/>
            <w:tcBorders>
              <w:top w:val="single" w:color="FFFFFF" w:sz="8" w:space="0"/>
              <w:left w:val="nil"/>
              <w:bottom w:val="single" w:color="FFFFFF" w:sz="12" w:space="0"/>
              <w:right w:val="single" w:color="FFFFFF" w:sz="24" w:space="0"/>
            </w:tcBorders>
            <w:shd w:val="clear" w:color="auto" w:fill="4F81BC"/>
          </w:tcPr>
          <w:p>
            <w:pPr>
              <w:pStyle w:val="35"/>
              <w:widowControl/>
              <w:spacing w:before="88"/>
              <w:ind w:left="98"/>
              <w:rPr>
                <w:rFonts w:hint="default" w:ascii="思源黑体 CN Bold" w:hAnsi="思源黑体 CN Bold" w:eastAsia="思源黑体 CN Bold" w:cs="黑体"/>
                <w:b/>
                <w:i/>
                <w:sz w:val="24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b/>
                <w:i/>
                <w:color w:val="FFFFFF"/>
                <w:sz w:val="24"/>
                <w:lang w:eastAsia="en-US"/>
              </w:rPr>
              <w:t>关于期初修改</w:t>
            </w:r>
          </w:p>
        </w:tc>
        <w:tc>
          <w:tcPr>
            <w:tcW w:w="3986" w:type="dxa"/>
            <w:tcBorders>
              <w:top w:val="single" w:color="FFFFFF" w:sz="8" w:space="0"/>
              <w:left w:val="single" w:color="FFFFFF" w:sz="24" w:space="0"/>
              <w:bottom w:val="single" w:color="FFFFFF" w:sz="12" w:space="0"/>
              <w:right w:val="single" w:color="FFFFFF" w:sz="8" w:space="0"/>
            </w:tcBorders>
            <w:shd w:val="clear" w:color="auto" w:fill="A7BEDE"/>
          </w:tcPr>
          <w:p>
            <w:pPr>
              <w:pStyle w:val="35"/>
              <w:widowControl/>
              <w:spacing w:before="88" w:line="336" w:lineRule="auto"/>
              <w:ind w:left="79" w:right="24"/>
              <w:rPr>
                <w:rFonts w:hint="default" w:ascii="思源黑体 CN Bold" w:hAnsi="思源黑体 CN Bold" w:eastAsia="思源黑体 CN Bold" w:cs="黑体"/>
                <w:sz w:val="24"/>
              </w:rPr>
            </w:pPr>
            <w:r>
              <w:rPr>
                <w:rFonts w:ascii="思源黑体 CN Bold" w:hAnsi="思源黑体 CN Bold" w:eastAsia="思源黑体 CN Bold" w:cs="黑体"/>
                <w:sz w:val="24"/>
              </w:rPr>
              <w:t>科目辅助核算期初明细，可以删除， 修改、新增。</w:t>
            </w:r>
          </w:p>
        </w:tc>
        <w:tc>
          <w:tcPr>
            <w:tcW w:w="3751" w:type="dxa"/>
            <w:tcBorders>
              <w:top w:val="single" w:color="FFFFFF" w:sz="8" w:space="0"/>
              <w:left w:val="single" w:color="FFFFFF" w:sz="8" w:space="0"/>
              <w:bottom w:val="single" w:color="FFFFFF" w:sz="12" w:space="0"/>
              <w:right w:val="nil"/>
            </w:tcBorders>
            <w:shd w:val="clear" w:color="auto" w:fill="A7BEDE"/>
          </w:tcPr>
          <w:p>
            <w:pPr>
              <w:pStyle w:val="35"/>
              <w:widowControl/>
              <w:spacing w:before="88" w:line="336" w:lineRule="auto"/>
              <w:ind w:left="98" w:right="40"/>
              <w:rPr>
                <w:rFonts w:hint="default" w:ascii="思源黑体 CN Bold" w:hAnsi="思源黑体 CN Bold" w:eastAsia="思源黑体 CN Bold" w:cs="黑体"/>
                <w:sz w:val="24"/>
              </w:rPr>
            </w:pPr>
            <w:r>
              <w:rPr>
                <w:rFonts w:ascii="思源黑体 CN Bold" w:hAnsi="思源黑体 CN Bold" w:eastAsia="思源黑体 CN Bold" w:cs="黑体"/>
                <w:spacing w:val="-2"/>
                <w:sz w:val="24"/>
              </w:rPr>
              <w:t xml:space="preserve">财务模块辅助核算期初可以新增， </w:t>
            </w:r>
            <w:r>
              <w:rPr>
                <w:rFonts w:ascii="思源黑体 CN Bold" w:hAnsi="思源黑体 CN Bold" w:eastAsia="思源黑体 CN Bold" w:cs="黑体"/>
                <w:sz w:val="24"/>
              </w:rPr>
              <w:t xml:space="preserve">新增的部分可以修改，也可以删 </w:t>
            </w:r>
            <w:r>
              <w:rPr>
                <w:rFonts w:ascii="思源黑体 CN Bold" w:hAnsi="思源黑体 CN Bold" w:eastAsia="思源黑体 CN Bold" w:cs="黑体"/>
                <w:spacing w:val="-8"/>
                <w:sz w:val="24"/>
              </w:rPr>
              <w:t>除；期初结转过来的辅助核算</w:t>
            </w:r>
            <w:r>
              <w:rPr>
                <w:rFonts w:ascii="思源黑体 CN Bold" w:hAnsi="思源黑体 CN Bold" w:eastAsia="思源黑体 CN Bold" w:cs="黑体"/>
                <w:sz w:val="24"/>
              </w:rPr>
              <w:t>（除</w:t>
            </w:r>
            <w:r>
              <w:rPr>
                <w:rFonts w:ascii="思源黑体 CN Bold" w:hAnsi="思源黑体 CN Bold" w:eastAsia="思源黑体 CN Bold" w:cs="黑体"/>
                <w:spacing w:val="-5"/>
                <w:sz w:val="24"/>
              </w:rPr>
              <w:t>往来单位、个人的辅助项外</w:t>
            </w:r>
            <w:r>
              <w:rPr>
                <w:rFonts w:ascii="思源黑体 CN Bold" w:hAnsi="思源黑体 CN Bold" w:eastAsia="思源黑体 CN Bold" w:cs="黑体"/>
                <w:spacing w:val="-26"/>
                <w:sz w:val="24"/>
              </w:rPr>
              <w:t>）</w:t>
            </w:r>
            <w:r>
              <w:rPr>
                <w:rFonts w:ascii="思源黑体 CN Bold" w:hAnsi="思源黑体 CN Bold" w:eastAsia="思源黑体 CN Bold" w:cs="黑体"/>
                <w:sz w:val="24"/>
              </w:rPr>
              <w:t>都可</w:t>
            </w:r>
            <w:r>
              <w:rPr>
                <w:rFonts w:ascii="思源黑体 CN Bold" w:hAnsi="思源黑体 CN Bold" w:eastAsia="思源黑体 CN Bold" w:cs="黑体"/>
                <w:spacing w:val="-8"/>
                <w:sz w:val="24"/>
              </w:rPr>
              <w:t>以修改、删除；业务模块期初其他</w:t>
            </w:r>
          </w:p>
          <w:p>
            <w:pPr>
              <w:pStyle w:val="35"/>
              <w:widowControl/>
              <w:spacing w:before="2"/>
              <w:ind w:left="98"/>
              <w:rPr>
                <w:rFonts w:hint="default" w:ascii="思源黑体 CN Bold" w:hAnsi="思源黑体 CN Bold" w:eastAsia="思源黑体 CN Bold" w:cs="黑体"/>
                <w:sz w:val="24"/>
              </w:rPr>
            </w:pPr>
            <w:r>
              <w:rPr>
                <w:rFonts w:ascii="思源黑体 CN Bold" w:hAnsi="思源黑体 CN Bold" w:eastAsia="思源黑体 CN Bold" w:cs="黑体"/>
                <w:sz w:val="24"/>
              </w:rPr>
              <w:t>单据则不能新增、删除、修改。</w:t>
            </w:r>
          </w:p>
        </w:tc>
      </w:tr>
      <w:tr>
        <w:tblPrEx>
          <w:tblBorders>
            <w:top w:val="single" w:color="FFFFFF" w:sz="12" w:space="0"/>
            <w:left w:val="single" w:color="FFFFFF" w:sz="12" w:space="0"/>
            <w:bottom w:val="single" w:color="FFFFFF" w:sz="12" w:space="0"/>
            <w:right w:val="single" w:color="FFFFFF" w:sz="12" w:space="0"/>
            <w:insideH w:val="single" w:color="FFFFFF" w:sz="12" w:space="0"/>
            <w:insideV w:val="single" w:color="FFFFFF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8" w:hRule="atLeast"/>
        </w:trPr>
        <w:tc>
          <w:tcPr>
            <w:tcW w:w="2099" w:type="dxa"/>
            <w:tcBorders>
              <w:top w:val="single" w:color="FFFFFF" w:sz="12" w:space="0"/>
              <w:left w:val="nil"/>
              <w:bottom w:val="nil"/>
              <w:right w:val="single" w:color="FFFFFF" w:sz="24" w:space="0"/>
            </w:tcBorders>
            <w:shd w:val="clear" w:color="auto" w:fill="4F81BC"/>
          </w:tcPr>
          <w:p>
            <w:pPr>
              <w:pStyle w:val="35"/>
              <w:widowControl/>
              <w:spacing w:before="84"/>
              <w:ind w:left="98"/>
              <w:rPr>
                <w:rFonts w:hint="default" w:ascii="思源黑体 CN Bold" w:hAnsi="思源黑体 CN Bold" w:eastAsia="思源黑体 CN Bold" w:cs="黑体"/>
                <w:b/>
                <w:i/>
                <w:sz w:val="24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b/>
                <w:i/>
                <w:color w:val="FFFFFF"/>
                <w:sz w:val="24"/>
                <w:lang w:eastAsia="en-US"/>
              </w:rPr>
              <w:t>账表查询</w:t>
            </w:r>
          </w:p>
        </w:tc>
        <w:tc>
          <w:tcPr>
            <w:tcW w:w="3986" w:type="dxa"/>
            <w:tcBorders>
              <w:top w:val="single" w:color="FFFFFF" w:sz="12" w:space="0"/>
              <w:left w:val="single" w:color="FFFFFF" w:sz="24" w:space="0"/>
              <w:bottom w:val="nil"/>
              <w:right w:val="single" w:color="FFFFFF" w:sz="8" w:space="0"/>
            </w:tcBorders>
            <w:shd w:val="clear" w:color="auto" w:fill="D2DFED"/>
          </w:tcPr>
          <w:p>
            <w:pPr>
              <w:pStyle w:val="35"/>
              <w:widowControl/>
              <w:spacing w:before="84"/>
              <w:ind w:left="79"/>
              <w:rPr>
                <w:rFonts w:hint="default" w:ascii="思源黑体 CN Bold" w:hAnsi="思源黑体 CN Bold" w:eastAsia="思源黑体 CN Bold" w:cs="黑体"/>
                <w:sz w:val="24"/>
              </w:rPr>
            </w:pPr>
            <w:r>
              <w:rPr>
                <w:rFonts w:ascii="思源黑体 CN Bold" w:hAnsi="思源黑体 CN Bold" w:eastAsia="思源黑体 CN Bold" w:cs="黑体"/>
                <w:sz w:val="24"/>
              </w:rPr>
              <w:t>不能跨年查询。</w:t>
            </w:r>
          </w:p>
          <w:p>
            <w:pPr>
              <w:pStyle w:val="35"/>
              <w:widowControl/>
              <w:spacing w:before="182" w:line="336" w:lineRule="auto"/>
              <w:ind w:left="79" w:right="24"/>
              <w:jc w:val="both"/>
              <w:rPr>
                <w:rFonts w:hint="default" w:ascii="思源黑体 CN Bold" w:hAnsi="思源黑体 CN Bold" w:eastAsia="思源黑体 CN Bold" w:cs="黑体"/>
                <w:sz w:val="24"/>
              </w:rPr>
            </w:pPr>
            <w:r>
              <w:rPr>
                <w:rFonts w:ascii="思源黑体 CN Bold" w:hAnsi="思源黑体 CN Bold" w:eastAsia="思源黑体 CN Bold" w:cs="黑体"/>
                <w:sz w:val="24"/>
              </w:rPr>
              <w:t>只能查询期间结转后本期间的数据， 期间结转前的数据需要用上一期间的日期重新登录原账套进行查看。</w:t>
            </w:r>
          </w:p>
        </w:tc>
        <w:tc>
          <w:tcPr>
            <w:tcW w:w="3751" w:type="dxa"/>
            <w:tcBorders>
              <w:top w:val="single" w:color="FFFFFF" w:sz="12" w:space="0"/>
              <w:left w:val="single" w:color="FFFFFF" w:sz="8" w:space="0"/>
              <w:bottom w:val="nil"/>
              <w:right w:val="nil"/>
            </w:tcBorders>
            <w:shd w:val="clear" w:color="auto" w:fill="D2DFED"/>
          </w:tcPr>
          <w:p>
            <w:pPr>
              <w:pStyle w:val="35"/>
              <w:widowControl/>
              <w:spacing w:before="84" w:line="336" w:lineRule="auto"/>
              <w:ind w:left="98" w:right="40"/>
              <w:jc w:val="both"/>
              <w:rPr>
                <w:rFonts w:hint="default" w:ascii="思源黑体 CN Bold" w:hAnsi="思源黑体 CN Bold" w:eastAsia="思源黑体 CN Bold" w:cs="黑体"/>
                <w:sz w:val="24"/>
              </w:rPr>
            </w:pPr>
            <w:r>
              <w:rPr>
                <w:rFonts w:ascii="思源黑体 CN Bold" w:hAnsi="思源黑体 CN Bold" w:eastAsia="思源黑体 CN Bold" w:cs="黑体"/>
                <w:sz w:val="24"/>
              </w:rPr>
              <w:t>财务方面：科目日记账、科目余额表、科目汇总表、辅助余额表、现金流量明细表、现金流量统计表、自定义明细表、自定义账表及所有的统计账表外,其他账表都支持跨年查询，查询时，需要选择未级科目；</w:t>
            </w:r>
          </w:p>
          <w:p>
            <w:pPr>
              <w:pStyle w:val="35"/>
              <w:widowControl/>
              <w:spacing w:before="3"/>
              <w:ind w:left="98"/>
              <w:rPr>
                <w:rFonts w:hint="default" w:ascii="思源黑体 CN Bold" w:hAnsi="思源黑体 CN Bold" w:eastAsia="思源黑体 CN Bold" w:cs="黑体"/>
                <w:sz w:val="24"/>
              </w:rPr>
            </w:pPr>
            <w:r>
              <w:rPr>
                <w:rFonts w:ascii="思源黑体 CN Bold" w:hAnsi="思源黑体 CN Bold" w:eastAsia="思源黑体 CN Bold" w:cs="黑体"/>
                <w:sz w:val="24"/>
              </w:rPr>
              <w:t>业务方面：其他业务单据及账表支</w:t>
            </w:r>
          </w:p>
        </w:tc>
      </w:tr>
    </w:tbl>
    <w:p>
      <w:pPr>
        <w:pStyle w:val="12"/>
        <w:widowControl w:val="0"/>
        <w:autoSpaceDE w:val="0"/>
        <w:autoSpaceDN w:val="0"/>
        <w:spacing w:before="0" w:beforeAutospacing="0" w:after="0" w:afterAutospacing="0"/>
        <w:ind w:left="116"/>
        <w:rPr>
          <w:rFonts w:ascii="思源黑体 CN Bold" w:hAnsi="思源黑体 CN Bold" w:eastAsia="思源黑体 CN Bold" w:cs="黑体"/>
          <w:sz w:val="20"/>
        </w:rPr>
      </w:pPr>
      <w:r>
        <w:rPr>
          <w:rFonts w:hint="eastAsia" w:ascii="思源黑体 CN Bold" w:hAnsi="思源黑体 CN Bold" w:eastAsia="思源黑体 CN Bold" w:cs="黑体"/>
          <w:sz w:val="20"/>
          <w:lang w:bidi="ar"/>
        </w:rPr>
        <mc:AlternateContent>
          <mc:Choice Requires="wpg">
            <w:drawing>
              <wp:inline distT="0" distB="0" distL="114300" distR="114300">
                <wp:extent cx="6245225" cy="1192530"/>
                <wp:effectExtent l="0" t="0" r="3175" b="7620"/>
                <wp:docPr id="10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5225" cy="1192530"/>
                          <a:chOff x="0" y="0"/>
                          <a:chExt cx="9835" cy="1878"/>
                        </a:xfrm>
                      </wpg:grpSpPr>
                      <wps:wsp>
                        <wps:cNvPr id="4" name="矩形 4"/>
                        <wps:cNvSpPr/>
                        <wps:spPr>
                          <a:xfrm>
                            <a:off x="0" y="2"/>
                            <a:ext cx="2070" cy="1875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" name="矩形 5"/>
                        <wps:cNvSpPr/>
                        <wps:spPr>
                          <a:xfrm>
                            <a:off x="2105" y="2"/>
                            <a:ext cx="3971" cy="1875"/>
                          </a:xfrm>
                          <a:prstGeom prst="rect">
                            <a:avLst/>
                          </a:prstGeom>
                          <a:solidFill>
                            <a:srgbClr val="D2DFED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6" name="矩形 6"/>
                        <wps:cNvSpPr/>
                        <wps:spPr>
                          <a:xfrm>
                            <a:off x="6090" y="2"/>
                            <a:ext cx="3745" cy="1875"/>
                          </a:xfrm>
                          <a:prstGeom prst="rect">
                            <a:avLst/>
                          </a:prstGeom>
                          <a:solidFill>
                            <a:srgbClr val="D2DFED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7" name="矩形 7"/>
                        <wps:cNvSpPr/>
                        <wps:spPr>
                          <a:xfrm>
                            <a:off x="6191" y="2"/>
                            <a:ext cx="3546" cy="622"/>
                          </a:xfrm>
                          <a:prstGeom prst="rect">
                            <a:avLst/>
                          </a:prstGeom>
                          <a:solidFill>
                            <a:srgbClr val="D2DFED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8" name="直线 8"/>
                        <wps:cNvCnPr/>
                        <wps:spPr>
                          <a:xfrm>
                            <a:off x="2097" y="0"/>
                            <a:ext cx="0" cy="1877"/>
                          </a:xfrm>
                          <a:prstGeom prst="line">
                            <a:avLst/>
                          </a:prstGeom>
                          <a:ln w="38100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" name="文本框 9"/>
                        <wps:cNvSpPr txBox="1"/>
                        <wps:spPr>
                          <a:xfrm>
                            <a:off x="6191" y="154"/>
                            <a:ext cx="1460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17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宋体"/>
                                  <w:kern w:val="0"/>
                                  <w:sz w:val="24"/>
                                  <w:lang w:bidi="ar"/>
                                </w:rPr>
                                <w:t>持跨年查询</w:t>
                              </w:r>
                              <w:r>
                                <w:rPr>
                                  <w:rFonts w:hint="eastAsia" w:cs="宋体"/>
                                  <w:kern w:val="0"/>
                                  <w:sz w:val="24"/>
                                  <w:lang w:bidi="ar"/>
                                </w:rPr>
                                <w:t>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style="height:93.9pt;width:491.75pt;" coordsize="9835,1878" o:gfxdata="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">
                <o:lock v:ext="edit" aspectratio="f"/>
                <v:rect id="_x0000_s1026" o:spid="_x0000_s1026" o:spt="1" style="position:absolute;left:0;top:2;height:1875;width:2070;" fillcolor="#4F81BC" filled="t" stroked="f" coordsize="21600,21600" o:gfxdata="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6lw2LsAAADa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2105;top:2;height:1875;width:3971;" fillcolor="#D2DFED" filled="t" stroked="f" coordsize="21600,21600" o:gfxdata="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4FwsvQAA&#10;ANo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6090;top:2;height:1875;width:3745;" fillcolor="#D2DFED" filled="t" stroked="f" coordsize="21600,21600" o:gfxdata="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TLCW74A&#10;AADa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6191;top:2;height:622;width:3546;" fillcolor="#D2DFED" filled="t" stroked="f" coordsize="21600,21600" o:gfxdata="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J+Z8C8AAAA&#10;2g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line id="直线 8" o:spid="_x0000_s1026" o:spt="20" style="position:absolute;left:2097;top:0;height:1877;width:0;" filled="f" stroked="t" coordsize="21600,21600" o:gfxdata="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JSPbv+2AAAA2gAAAA8A&#10;AAAAAAAAAQAgAAAAIgAAAGRycy9kb3ducmV2LnhtbFBLAQIUABQAAAAIAIdO4kAzLwWeOwAAADkA&#10;AAAQAAAAAAAAAAEAIAAAAAUBAABkcnMvc2hhcGV4bWwueG1sUEsFBgAAAAAGAAYAWwEAAK8DAAAA&#10;AA==&#10;">
                  <v:fill on="f" focussize="0,0"/>
                  <v:stroke weight="3pt" color="#FFFFFF" joinstyle="round"/>
                  <v:imagedata o:title=""/>
                  <o:lock v:ext="edit" aspectratio="f"/>
                </v:line>
                <v:shape id="_x0000_s1026" o:spid="_x0000_s1026" o:spt="202" type="#_x0000_t202" style="position:absolute;left:6191;top:154;height:317;width:1460;" filled="f" stroked="f" coordsize="21600,21600" o:gfxdata="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Ac95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317" w:lineRule="exact"/>
                          <w:rPr>
                            <w:sz w:val="24"/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宋体"/>
                            <w:kern w:val="0"/>
                            <w:sz w:val="24"/>
                            <w:lang w:bidi="ar"/>
                          </w:rPr>
                          <w:t>持跨年查询</w:t>
                        </w:r>
                        <w:r>
                          <w:rPr>
                            <w:rFonts w:hint="eastAsia" w:cs="宋体"/>
                            <w:kern w:val="0"/>
                            <w:sz w:val="24"/>
                            <w:lang w:bidi="ar"/>
                          </w:rPr>
                          <w:t>。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"/>
        <w:widowControl/>
        <w:spacing w:before="38"/>
        <w:rPr>
          <w:rFonts w:ascii="思源黑体 CN Bold" w:hAnsi="思源黑体 CN Bold" w:eastAsia="思源黑体 CN Bold" w:cs="黑体"/>
        </w:rPr>
      </w:pPr>
      <w:r>
        <w:rPr>
          <w:rFonts w:hint="eastAsia" w:ascii="思源黑体 CN Bold" w:hAnsi="思源黑体 CN Bold" w:eastAsia="思源黑体 CN Bold" w:cs="黑体"/>
        </w:rPr>
        <w:t>二、直接结转</w:t>
      </w:r>
    </w:p>
    <w:p>
      <w:pPr>
        <w:pStyle w:val="12"/>
        <w:widowControl w:val="0"/>
        <w:autoSpaceDE w:val="0"/>
        <w:autoSpaceDN w:val="0"/>
        <w:spacing w:before="0" w:beforeAutospacing="0" w:after="0" w:afterAutospacing="0"/>
        <w:ind w:left="693"/>
        <w:jc w:val="both"/>
        <w:rPr>
          <w:rFonts w:ascii="思源黑体 CN Bold" w:hAnsi="思源黑体 CN Bold" w:eastAsia="思源黑体 CN Bold" w:cs="黑体"/>
          <w:b/>
          <w:i/>
        </w:rPr>
      </w:pPr>
      <w:r>
        <w:rPr>
          <w:rFonts w:hint="eastAsia" w:ascii="思源黑体 CN Bold" w:hAnsi="思源黑体 CN Bold" w:eastAsia="思源黑体 CN Bold" w:cs="黑体"/>
          <w:spacing w:val="-1"/>
          <w:lang w:bidi="ar"/>
        </w:rPr>
        <w:t xml:space="preserve">直接结转分为 </w:t>
      </w:r>
      <w:r>
        <w:rPr>
          <w:rFonts w:hint="eastAsia" w:ascii="思源黑体 CN Bold" w:hAnsi="思源黑体 CN Bold" w:eastAsia="思源黑体 CN Bold" w:cs="黑体"/>
          <w:lang w:bidi="ar"/>
        </w:rPr>
        <w:t>2</w:t>
      </w:r>
      <w:r>
        <w:rPr>
          <w:rFonts w:hint="eastAsia" w:ascii="思源黑体 CN Bold" w:hAnsi="思源黑体 CN Bold" w:eastAsia="思源黑体 CN Bold" w:cs="黑体"/>
          <w:spacing w:val="-1"/>
          <w:lang w:bidi="ar"/>
        </w:rPr>
        <w:t xml:space="preserve"> 种方式，一种是直接结账过渡到次年，另一种是新建会计期间，</w:t>
      </w:r>
      <w:r>
        <w:rPr>
          <w:rFonts w:hint="eastAsia" w:ascii="思源黑体 CN Bold" w:hAnsi="思源黑体 CN Bold" w:eastAsia="思源黑体 CN Bold" w:cs="黑体"/>
          <w:b/>
          <w:i/>
          <w:color w:val="0000CC"/>
          <w:lang w:bidi="ar"/>
        </w:rPr>
        <w:t>直接结</w:t>
      </w:r>
    </w:p>
    <w:p>
      <w:pPr>
        <w:pStyle w:val="12"/>
        <w:widowControl w:val="0"/>
        <w:autoSpaceDE w:val="0"/>
        <w:autoSpaceDN w:val="0"/>
        <w:spacing w:before="182" w:beforeAutospacing="0" w:after="0" w:afterAutospacing="0" w:line="336" w:lineRule="auto"/>
        <w:ind w:left="212" w:right="829"/>
        <w:jc w:val="both"/>
        <w:rPr>
          <w:rFonts w:hint="eastAsia" w:ascii="思源黑体 CN Bold" w:hAnsi="思源黑体 CN Bold" w:eastAsia="思源黑体 CN Bold" w:cs="黑体"/>
          <w:lang w:eastAsia="zh-CN"/>
        </w:rPr>
      </w:pPr>
      <w:r>
        <w:rPr>
          <w:rFonts w:hint="eastAsia" w:ascii="思源黑体 CN Bold" w:hAnsi="思源黑体 CN Bold" w:eastAsia="思源黑体 CN Bold" w:cs="黑体"/>
          <w:b/>
          <w:i/>
          <w:color w:val="0000CC"/>
          <w:lang w:bidi="ar"/>
        </w:rPr>
        <w:t>账</w:t>
      </w:r>
      <w:r>
        <w:rPr>
          <w:rFonts w:hint="eastAsia" w:ascii="思源黑体 CN Bold" w:hAnsi="思源黑体 CN Bold" w:eastAsia="思源黑体 CN Bold" w:cs="黑体"/>
          <w:spacing w:val="-2"/>
          <w:lang w:bidi="ar"/>
        </w:rPr>
        <w:t xml:space="preserve">的方式适用于企业账务处理比较及时，比如截止 </w:t>
      </w:r>
      <w:r>
        <w:rPr>
          <w:rFonts w:hint="eastAsia" w:ascii="思源黑体 CN Bold" w:hAnsi="思源黑体 CN Bold" w:eastAsia="思源黑体 CN Bold" w:cs="黑体"/>
          <w:lang w:eastAsia="zh-CN" w:bidi="ar"/>
        </w:rPr>
        <w:t>202</w:t>
      </w:r>
      <w:r>
        <w:rPr>
          <w:rFonts w:hint="eastAsia" w:ascii="思源黑体 CN Bold" w:hAnsi="思源黑体 CN Bold" w:eastAsia="思源黑体 CN Bold" w:cs="黑体"/>
          <w:lang w:val="en-US" w:eastAsia="zh-CN" w:bidi="ar"/>
        </w:rPr>
        <w:t>3</w:t>
      </w:r>
      <w:r>
        <w:rPr>
          <w:rFonts w:hint="eastAsia" w:ascii="思源黑体 CN Bold" w:hAnsi="思源黑体 CN Bold" w:eastAsia="思源黑体 CN Bold" w:cs="黑体"/>
          <w:lang w:bidi="ar"/>
        </w:rPr>
        <w:t xml:space="preserve"> </w:t>
      </w:r>
      <w:r>
        <w:rPr>
          <w:rFonts w:hint="eastAsia" w:ascii="思源黑体 CN Bold" w:hAnsi="思源黑体 CN Bold" w:eastAsia="思源黑体 CN Bold" w:cs="黑体"/>
          <w:spacing w:val="-9"/>
          <w:lang w:bidi="ar"/>
        </w:rPr>
        <w:t xml:space="preserve">年 </w:t>
      </w:r>
      <w:r>
        <w:rPr>
          <w:rFonts w:hint="eastAsia" w:ascii="思源黑体 CN Bold" w:hAnsi="思源黑体 CN Bold" w:eastAsia="思源黑体 CN Bold" w:cs="黑体"/>
          <w:lang w:bidi="ar"/>
        </w:rPr>
        <w:t>12</w:t>
      </w:r>
      <w:r>
        <w:rPr>
          <w:rFonts w:hint="eastAsia" w:ascii="思源黑体 CN Bold" w:hAnsi="思源黑体 CN Bold" w:eastAsia="思源黑体 CN Bold" w:cs="黑体"/>
          <w:spacing w:val="-8"/>
          <w:lang w:bidi="ar"/>
        </w:rPr>
        <w:t xml:space="preserve"> 月 </w:t>
      </w:r>
      <w:r>
        <w:rPr>
          <w:rFonts w:hint="eastAsia" w:ascii="思源黑体 CN Bold" w:hAnsi="思源黑体 CN Bold" w:eastAsia="思源黑体 CN Bold" w:cs="黑体"/>
          <w:lang w:bidi="ar"/>
        </w:rPr>
        <w:t>31</w:t>
      </w:r>
      <w:r>
        <w:rPr>
          <w:rFonts w:hint="eastAsia" w:ascii="思源黑体 CN Bold" w:hAnsi="思源黑体 CN Bold" w:eastAsia="思源黑体 CN Bold" w:cs="黑体"/>
          <w:spacing w:val="-4"/>
          <w:lang w:bidi="ar"/>
        </w:rPr>
        <w:t xml:space="preserve"> 日各模块的账务都处理完了，这种情况下可以各模块直接结账顺利过渡到次年；然而在企业的实际业务中，一般业</w:t>
      </w:r>
      <w:r>
        <w:rPr>
          <w:rFonts w:hint="eastAsia" w:ascii="思源黑体 CN Bold" w:hAnsi="思源黑体 CN Bold" w:eastAsia="思源黑体 CN Bold" w:cs="黑体"/>
          <w:spacing w:val="-11"/>
          <w:lang w:bidi="ar"/>
        </w:rPr>
        <w:t xml:space="preserve">务和财务都不能处理的这么及时，所以很多企业可能采用将 </w:t>
      </w:r>
      <w:r>
        <w:rPr>
          <w:rFonts w:hint="eastAsia" w:ascii="思源黑体 CN Bold" w:hAnsi="思源黑体 CN Bold" w:eastAsia="思源黑体 CN Bold" w:cs="黑体"/>
          <w:lang w:eastAsia="zh-CN" w:bidi="ar"/>
        </w:rPr>
        <w:t>2023</w:t>
      </w:r>
      <w:r>
        <w:rPr>
          <w:rFonts w:hint="eastAsia" w:ascii="思源黑体 CN Bold" w:hAnsi="思源黑体 CN Bold" w:eastAsia="思源黑体 CN Bold" w:cs="黑体"/>
          <w:spacing w:val="-10"/>
          <w:lang w:bidi="ar"/>
        </w:rPr>
        <w:t xml:space="preserve">年的单据压单， 等待 </w:t>
      </w:r>
      <w:r>
        <w:rPr>
          <w:rFonts w:hint="eastAsia" w:ascii="思源黑体 CN Bold" w:hAnsi="思源黑体 CN Bold" w:eastAsia="思源黑体 CN Bold" w:cs="黑体"/>
          <w:lang w:eastAsia="zh-CN" w:bidi="ar"/>
        </w:rPr>
        <w:t>2023</w:t>
      </w:r>
    </w:p>
    <w:p>
      <w:pPr>
        <w:pStyle w:val="12"/>
        <w:widowControl w:val="0"/>
        <w:autoSpaceDE w:val="0"/>
        <w:autoSpaceDN w:val="0"/>
        <w:spacing w:before="1" w:beforeAutospacing="0" w:after="0" w:afterAutospacing="0" w:line="336" w:lineRule="auto"/>
        <w:ind w:left="212" w:right="832"/>
        <w:jc w:val="both"/>
        <w:rPr>
          <w:rFonts w:ascii="思源黑体 CN Bold" w:hAnsi="思源黑体 CN Bold" w:eastAsia="思源黑体 CN Bold" w:cs="黑体"/>
        </w:rPr>
      </w:pPr>
      <w:r>
        <w:rPr>
          <w:rFonts w:hint="eastAsia" w:ascii="思源黑体 CN Bold" w:hAnsi="思源黑体 CN Bold" w:eastAsia="思源黑体 CN Bold" w:cs="黑体"/>
          <w:spacing w:val="-11"/>
          <w:lang w:bidi="ar"/>
        </w:rPr>
        <w:t>年账务处理完毕，或者采用</w:t>
      </w:r>
      <w:r>
        <w:rPr>
          <w:rFonts w:hint="eastAsia" w:ascii="思源黑体 CN Bold" w:hAnsi="思源黑体 CN Bold" w:eastAsia="思源黑体 CN Bold" w:cs="黑体"/>
          <w:b/>
          <w:i/>
          <w:color w:val="0000CC"/>
          <w:lang w:bidi="ar"/>
        </w:rPr>
        <w:t>新建会计期间</w:t>
      </w:r>
      <w:r>
        <w:rPr>
          <w:rFonts w:hint="eastAsia" w:ascii="思源黑体 CN Bold" w:hAnsi="思源黑体 CN Bold" w:eastAsia="思源黑体 CN Bold" w:cs="黑体"/>
          <w:spacing w:val="-18"/>
          <w:lang w:bidi="ar"/>
        </w:rPr>
        <w:t xml:space="preserve">的方式，在新的会计期间先录新年度的单据，等 </w:t>
      </w:r>
      <w:r>
        <w:rPr>
          <w:rFonts w:hint="eastAsia" w:ascii="思源黑体 CN Bold" w:hAnsi="思源黑体 CN Bold" w:eastAsia="思源黑体 CN Bold" w:cs="黑体"/>
          <w:spacing w:val="-4"/>
          <w:lang w:eastAsia="zh-CN" w:bidi="ar"/>
        </w:rPr>
        <w:t>2023</w:t>
      </w:r>
      <w:r>
        <w:rPr>
          <w:rFonts w:hint="eastAsia" w:ascii="思源黑体 CN Bold" w:hAnsi="思源黑体 CN Bold" w:eastAsia="思源黑体 CN Bold" w:cs="黑体"/>
          <w:spacing w:val="-4"/>
          <w:lang w:bidi="ar"/>
        </w:rPr>
        <w:t xml:space="preserve"> </w:t>
      </w:r>
      <w:r>
        <w:rPr>
          <w:rFonts w:hint="eastAsia" w:ascii="思源黑体 CN Bold" w:hAnsi="思源黑体 CN Bold" w:eastAsia="思源黑体 CN Bold" w:cs="黑体"/>
          <w:lang w:bidi="ar"/>
        </w:rPr>
        <w:t>年的数据完成之后再将数据进行结转。下面给大家讲解一下直接结账和新建期间两种方式的操作流程。</w:t>
      </w:r>
    </w:p>
    <w:p>
      <w:pPr>
        <w:spacing w:before="278"/>
        <w:ind w:left="212"/>
        <w:rPr>
          <w:rFonts w:ascii="思源黑体 CN Bold" w:hAnsi="思源黑体 CN Bold" w:eastAsia="思源黑体 CN Bold" w:cs="黑体"/>
          <w:b/>
          <w:sz w:val="32"/>
        </w:rPr>
      </w:pPr>
      <w:bookmarkStart w:id="1" w:name="_bookmark4"/>
      <w:bookmarkEnd w:id="1"/>
      <w:r>
        <w:rPr>
          <w:rFonts w:hint="eastAsia" w:ascii="思源黑体 CN Bold" w:hAnsi="思源黑体 CN Bold" w:eastAsia="思源黑体 CN Bold" w:cs="黑体"/>
          <w:b/>
          <w:sz w:val="32"/>
          <w:lang w:bidi="ar"/>
        </w:rPr>
        <w:t>1、第一种方式：直接结账过渡到次年</w:t>
      </w:r>
    </w:p>
    <w:p>
      <w:pPr>
        <w:pStyle w:val="12"/>
        <w:widowControl w:val="0"/>
        <w:autoSpaceDE w:val="0"/>
        <w:autoSpaceDN w:val="0"/>
        <w:spacing w:before="9" w:beforeAutospacing="0" w:after="0" w:afterAutospacing="0"/>
        <w:rPr>
          <w:rFonts w:ascii="思源黑体 CN Bold" w:hAnsi="思源黑体 CN Bold" w:eastAsia="思源黑体 CN Bold" w:cs="黑体"/>
          <w:b/>
          <w:sz w:val="35"/>
        </w:rPr>
      </w:pPr>
    </w:p>
    <w:p>
      <w:pPr>
        <w:pStyle w:val="12"/>
        <w:widowControl w:val="0"/>
        <w:autoSpaceDE w:val="0"/>
        <w:autoSpaceDN w:val="0"/>
        <w:spacing w:before="0" w:beforeAutospacing="0" w:after="0" w:afterAutospacing="0"/>
        <w:ind w:left="212"/>
        <w:jc w:val="both"/>
        <w:rPr>
          <w:rFonts w:ascii="思源黑体 CN Bold" w:hAnsi="思源黑体 CN Bold" w:eastAsia="思源黑体 CN Bold" w:cs="黑体"/>
        </w:rPr>
      </w:pPr>
      <w:r>
        <w:rPr>
          <w:rFonts w:hint="eastAsia" w:ascii="思源黑体 CN Bold" w:hAnsi="思源黑体 CN Bold" w:eastAsia="思源黑体 CN Bold" w:cs="黑体"/>
          <w:lang w:bidi="ar"/>
        </w:rPr>
        <w:t>（1）</w:t>
      </w:r>
      <w:r>
        <w:rPr>
          <w:rFonts w:hint="eastAsia" w:ascii="思源黑体 CN Bold" w:hAnsi="思源黑体 CN Bold" w:eastAsia="思源黑体 CN Bold" w:cs="黑体"/>
          <w:lang w:eastAsia="zh-CN" w:bidi="ar"/>
        </w:rPr>
        <w:t>2023</w:t>
      </w:r>
      <w:r>
        <w:rPr>
          <w:rFonts w:hint="eastAsia" w:ascii="思源黑体 CN Bold" w:hAnsi="思源黑体 CN Bold" w:eastAsia="思源黑体 CN Bold" w:cs="黑体"/>
          <w:spacing w:val="-8"/>
          <w:lang w:bidi="ar"/>
        </w:rPr>
        <w:t xml:space="preserve"> 年 </w:t>
      </w:r>
      <w:r>
        <w:rPr>
          <w:rFonts w:hint="eastAsia" w:ascii="思源黑体 CN Bold" w:hAnsi="思源黑体 CN Bold" w:eastAsia="思源黑体 CN Bold" w:cs="黑体"/>
          <w:spacing w:val="-2"/>
          <w:lang w:bidi="ar"/>
        </w:rPr>
        <w:t>1</w:t>
      </w:r>
      <w:r>
        <w:rPr>
          <w:rFonts w:hint="eastAsia" w:ascii="思源黑体 CN Bold" w:hAnsi="思源黑体 CN Bold" w:eastAsia="思源黑体 CN Bold" w:cs="黑体"/>
          <w:lang w:bidi="ar"/>
        </w:rPr>
        <w:t>2</w:t>
      </w:r>
      <w:r>
        <w:rPr>
          <w:rFonts w:hint="eastAsia" w:ascii="思源黑体 CN Bold" w:hAnsi="思源黑体 CN Bold" w:eastAsia="思源黑体 CN Bold" w:cs="黑体"/>
          <w:spacing w:val="-9"/>
          <w:lang w:bidi="ar"/>
        </w:rPr>
        <w:t xml:space="preserve"> 月业务模块结账,“系统管理”—“基本设置”—“业务结账”，当业务 </w:t>
      </w:r>
      <w:r>
        <w:rPr>
          <w:rFonts w:hint="eastAsia" w:ascii="思源黑体 CN Bold" w:hAnsi="思源黑体 CN Bold" w:eastAsia="思源黑体 CN Bold" w:cs="黑体"/>
          <w:lang w:bidi="ar"/>
        </w:rPr>
        <w:t>12</w:t>
      </w:r>
    </w:p>
    <w:p>
      <w:pPr>
        <w:pStyle w:val="12"/>
        <w:widowControl w:val="0"/>
        <w:autoSpaceDE w:val="0"/>
        <w:autoSpaceDN w:val="0"/>
        <w:spacing w:before="182" w:beforeAutospacing="0" w:after="0" w:afterAutospacing="0"/>
        <w:ind w:left="212"/>
        <w:jc w:val="both"/>
        <w:rPr>
          <w:rFonts w:ascii="思源黑体 CN Bold" w:hAnsi="思源黑体 CN Bold" w:eastAsia="思源黑体 CN Bold" w:cs="黑体"/>
        </w:rPr>
      </w:pPr>
      <w:r>
        <w:rPr>
          <w:rFonts w:hint="eastAsia" w:ascii="思源黑体 CN Bold" w:hAnsi="思源黑体 CN Bold" w:eastAsia="思源黑体 CN Bold" w:cs="黑体"/>
          <w:lang w:bidi="ar"/>
        </w:rPr>
        <w:t xml:space="preserve">月结完账时，会自动生成 </w:t>
      </w:r>
      <w:r>
        <w:rPr>
          <w:rFonts w:hint="eastAsia" w:ascii="思源黑体 CN Bold" w:hAnsi="思源黑体 CN Bold" w:eastAsia="思源黑体 CN Bold" w:cs="黑体"/>
          <w:lang w:eastAsia="zh-CN" w:bidi="ar"/>
        </w:rPr>
        <w:t>202</w:t>
      </w:r>
      <w:r>
        <w:rPr>
          <w:rFonts w:hint="eastAsia" w:ascii="思源黑体 CN Bold" w:hAnsi="思源黑体 CN Bold" w:eastAsia="思源黑体 CN Bold" w:cs="黑体"/>
          <w:lang w:val="en-US" w:eastAsia="zh-CN" w:bidi="ar"/>
        </w:rPr>
        <w:t>4</w:t>
      </w:r>
      <w:r>
        <w:rPr>
          <w:rFonts w:hint="eastAsia" w:ascii="思源黑体 CN Bold" w:hAnsi="思源黑体 CN Bold" w:eastAsia="思源黑体 CN Bold" w:cs="黑体"/>
          <w:lang w:bidi="ar"/>
        </w:rPr>
        <w:t xml:space="preserve"> 年的会计期间。</w:t>
      </w:r>
    </w:p>
    <w:p>
      <w:pPr>
        <w:rPr>
          <w:rFonts w:ascii="思源黑体 CN Bold" w:hAnsi="思源黑体 CN Bold" w:eastAsia="思源黑体 CN Bold" w:cs="黑体"/>
          <w:lang w:bidi="ar"/>
        </w:rPr>
      </w:pPr>
    </w:p>
    <w:p>
      <w:pPr>
        <w:rPr>
          <w:rFonts w:ascii="思源黑体 CN Bold" w:hAnsi="思源黑体 CN Bold" w:eastAsia="思源黑体 CN Bold" w:cs="黑体"/>
          <w:lang w:bidi="ar"/>
        </w:rPr>
        <w:sectPr>
          <w:pgSz w:w="11910" w:h="16840"/>
          <w:pgMar w:top="980" w:right="300" w:bottom="660" w:left="920" w:header="272" w:footer="471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305300" cy="5467350"/>
            <wp:effectExtent l="0" t="0" r="0" b="0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widowControl w:val="0"/>
        <w:autoSpaceDE w:val="0"/>
        <w:autoSpaceDN w:val="0"/>
        <w:spacing w:before="12" w:beforeAutospacing="0" w:after="1" w:afterAutospacing="0"/>
        <w:rPr>
          <w:rFonts w:ascii="思源黑体 CN Bold" w:hAnsi="思源黑体 CN Bold" w:eastAsia="思源黑体 CN Bold" w:cs="黑体"/>
          <w:sz w:val="6"/>
        </w:rPr>
      </w:pPr>
    </w:p>
    <w:p>
      <w:pPr>
        <w:pStyle w:val="12"/>
        <w:widowControl w:val="0"/>
        <w:autoSpaceDE w:val="0"/>
        <w:autoSpaceDN w:val="0"/>
        <w:spacing w:before="0" w:beforeAutospacing="0" w:after="0" w:afterAutospacing="0"/>
        <w:ind w:left="214"/>
        <w:jc w:val="center"/>
        <w:rPr>
          <w:rFonts w:ascii="思源黑体 CN Bold" w:hAnsi="思源黑体 CN Bold" w:eastAsia="思源黑体 CN Bold" w:cs="黑体"/>
          <w:lang w:bidi="ar"/>
        </w:rPr>
      </w:pPr>
    </w:p>
    <w:p>
      <w:pPr>
        <w:pStyle w:val="12"/>
        <w:widowControl w:val="0"/>
        <w:autoSpaceDE w:val="0"/>
        <w:autoSpaceDN w:val="0"/>
        <w:spacing w:before="0" w:beforeAutospacing="0" w:after="0" w:afterAutospacing="0"/>
        <w:ind w:left="214"/>
        <w:rPr>
          <w:rFonts w:ascii="思源黑体 CN Bold" w:hAnsi="思源黑体 CN Bold" w:eastAsia="思源黑体 CN Bold" w:cs="黑体"/>
        </w:rPr>
      </w:pPr>
      <w:r>
        <w:rPr>
          <w:rFonts w:hint="eastAsia" w:ascii="思源黑体 CN Bold" w:hAnsi="思源黑体 CN Bold" w:eastAsia="思源黑体 CN Bold" w:cs="黑体"/>
          <w:lang w:bidi="ar"/>
        </w:rPr>
        <w:t>（2）“系统管理”—“基本设置”—“财务结账”</w:t>
      </w:r>
    </w:p>
    <w:p>
      <w:pPr>
        <w:pStyle w:val="12"/>
        <w:widowControl w:val="0"/>
        <w:autoSpaceDE w:val="0"/>
        <w:autoSpaceDN w:val="0"/>
        <w:spacing w:before="0" w:beforeAutospacing="0" w:after="0" w:afterAutospacing="0"/>
        <w:ind w:left="214"/>
        <w:jc w:val="center"/>
        <w:rPr>
          <w:rFonts w:ascii="思源黑体 CN Bold" w:hAnsi="思源黑体 CN Bold" w:eastAsia="思源黑体 CN Bold" w:cs="黑体"/>
          <w:lang w:bidi="ar"/>
        </w:rPr>
      </w:pPr>
      <w:r>
        <w:drawing>
          <wp:inline distT="0" distB="0" distL="114300" distR="114300">
            <wp:extent cx="4276725" cy="5467350"/>
            <wp:effectExtent l="0" t="0" r="9525" b="0"/>
            <wp:docPr id="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6"/>
        <w:widowControl w:val="0"/>
        <w:tabs>
          <w:tab w:val="left" w:pos="836"/>
        </w:tabs>
        <w:autoSpaceDE w:val="0"/>
        <w:autoSpaceDN w:val="0"/>
        <w:spacing w:before="37" w:beforeAutospacing="0" w:afterAutospacing="0" w:line="336" w:lineRule="auto"/>
        <w:ind w:left="212" w:right="831" w:firstLine="0"/>
        <w:rPr>
          <w:rFonts w:hint="default" w:ascii="思源黑体 CN Bold" w:hAnsi="思源黑体 CN Bold" w:eastAsia="思源黑体 CN Bold" w:cs="黑体"/>
          <w:spacing w:val="-6"/>
        </w:rPr>
      </w:pPr>
      <w:r>
        <w:rPr>
          <w:rFonts w:ascii="思源黑体 CN Bold" w:hAnsi="思源黑体 CN Bold" w:eastAsia="思源黑体 CN Bold" w:cs="黑体"/>
          <w:spacing w:val="1"/>
        </w:rPr>
        <w:t xml:space="preserve">（3）用新年度 </w:t>
      </w:r>
      <w:r>
        <w:rPr>
          <w:rFonts w:hint="eastAsia" w:ascii="思源黑体 CN Bold" w:hAnsi="思源黑体 CN Bold" w:eastAsia="思源黑体 CN Bold" w:cs="黑体"/>
          <w:lang w:eastAsia="zh-CN"/>
        </w:rPr>
        <w:t>202</w:t>
      </w:r>
      <w:r>
        <w:rPr>
          <w:rFonts w:hint="eastAsia" w:ascii="思源黑体 CN Bold" w:hAnsi="思源黑体 CN Bold" w:eastAsia="思源黑体 CN Bold" w:cs="黑体"/>
          <w:lang w:val="en-US" w:eastAsia="zh-CN"/>
        </w:rPr>
        <w:t>4</w:t>
      </w:r>
      <w:r>
        <w:rPr>
          <w:rFonts w:ascii="思源黑体 CN Bold" w:hAnsi="思源黑体 CN Bold" w:eastAsia="思源黑体 CN Bold" w:cs="黑体"/>
          <w:spacing w:val="-6"/>
        </w:rPr>
        <w:t xml:space="preserve"> 年的日期登入软件，查看“初始化”—“科目期初”，此时科目期初为上年度的期未余额</w:t>
      </w:r>
    </w:p>
    <w:p>
      <w:pPr>
        <w:pStyle w:val="36"/>
        <w:widowControl w:val="0"/>
        <w:tabs>
          <w:tab w:val="left" w:pos="836"/>
        </w:tabs>
        <w:autoSpaceDE w:val="0"/>
        <w:autoSpaceDN w:val="0"/>
        <w:spacing w:before="37" w:beforeAutospacing="0" w:afterAutospacing="0" w:line="336" w:lineRule="auto"/>
        <w:ind w:left="212" w:right="831" w:firstLine="0"/>
        <w:jc w:val="center"/>
        <w:rPr>
          <w:rFonts w:hint="default" w:ascii="思源黑体 CN Bold" w:hAnsi="思源黑体 CN Bold" w:eastAsia="思源黑体 CN Bold" w:cs="黑体"/>
        </w:rPr>
      </w:pPr>
      <w:r>
        <w:drawing>
          <wp:inline distT="0" distB="0" distL="114300" distR="114300">
            <wp:extent cx="5562600" cy="7972425"/>
            <wp:effectExtent l="0" t="0" r="0" b="9525"/>
            <wp:docPr id="4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6"/>
        <w:widowControl w:val="0"/>
        <w:tabs>
          <w:tab w:val="left" w:pos="836"/>
        </w:tabs>
        <w:autoSpaceDE w:val="0"/>
        <w:autoSpaceDN w:val="0"/>
        <w:spacing w:before="37" w:beforeAutospacing="0" w:afterAutospacing="0" w:line="336" w:lineRule="auto"/>
        <w:ind w:left="212" w:right="830" w:firstLine="0"/>
        <w:rPr>
          <w:rFonts w:hint="default" w:ascii="思源黑体 CN Bold" w:hAnsi="思源黑体 CN Bold" w:eastAsia="思源黑体 CN Bold" w:cs="黑体"/>
        </w:rPr>
      </w:pPr>
      <w:r>
        <w:rPr>
          <w:rFonts w:ascii="思源黑体 CN Bold" w:hAnsi="思源黑体 CN Bold" w:eastAsia="思源黑体 CN Bold" w:cs="黑体"/>
          <w:spacing w:val="-6"/>
        </w:rPr>
        <w:t>（4）业务期初仍为开账时候的期初且不让手工修改。</w:t>
      </w:r>
      <w:r>
        <w:rPr>
          <w:rFonts w:ascii="思源黑体 CN Bold" w:hAnsi="思源黑体 CN Bold" w:eastAsia="思源黑体 CN Bold" w:cs="黑体"/>
        </w:rPr>
        <w:t>（</w:t>
      </w:r>
      <w:r>
        <w:rPr>
          <w:rFonts w:ascii="思源黑体 CN Bold" w:hAnsi="思源黑体 CN Bold" w:eastAsia="思源黑体 CN Bold" w:cs="黑体"/>
          <w:spacing w:val="-1"/>
        </w:rPr>
        <w:t>包括：现金流量期初、库存期初、往</w:t>
      </w:r>
      <w:r>
        <w:rPr>
          <w:rFonts w:ascii="思源黑体 CN Bold" w:hAnsi="思源黑体 CN Bold" w:eastAsia="思源黑体 CN Bold" w:cs="黑体"/>
        </w:rPr>
        <w:t>来单位期初、现金银行期初、银行对账期初）</w:t>
      </w:r>
    </w:p>
    <w:p>
      <w:pPr>
        <w:pStyle w:val="36"/>
        <w:widowControl w:val="0"/>
        <w:tabs>
          <w:tab w:val="left" w:pos="836"/>
        </w:tabs>
        <w:autoSpaceDE w:val="0"/>
        <w:autoSpaceDN w:val="0"/>
        <w:spacing w:before="37" w:beforeAutospacing="0" w:afterAutospacing="0" w:line="336" w:lineRule="auto"/>
        <w:ind w:left="212" w:right="830" w:firstLine="0"/>
        <w:jc w:val="center"/>
        <w:rPr>
          <w:rFonts w:hint="default" w:ascii="思源黑体 CN Bold" w:hAnsi="思源黑体 CN Bold" w:eastAsia="思源黑体 CN Bold" w:cs="黑体"/>
        </w:rPr>
      </w:pPr>
      <w:r>
        <w:drawing>
          <wp:inline distT="0" distB="0" distL="114300" distR="114300">
            <wp:extent cx="4810125" cy="2668905"/>
            <wp:effectExtent l="12700" t="12700" r="15875" b="2349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6689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6"/>
        <w:widowControl w:val="0"/>
        <w:tabs>
          <w:tab w:val="left" w:pos="836"/>
        </w:tabs>
        <w:autoSpaceDE w:val="0"/>
        <w:autoSpaceDN w:val="0"/>
        <w:spacing w:before="37" w:beforeAutospacing="0" w:afterAutospacing="0" w:line="336" w:lineRule="auto"/>
        <w:ind w:left="212" w:right="830" w:firstLine="0"/>
        <w:rPr>
          <w:rFonts w:hint="default" w:ascii="思源黑体 CN Bold" w:hAnsi="思源黑体 CN Bold" w:eastAsia="思源黑体 CN Bold" w:cs="黑体"/>
        </w:rPr>
      </w:pPr>
    </w:p>
    <w:p>
      <w:pPr>
        <w:spacing w:before="83"/>
        <w:ind w:left="212"/>
        <w:rPr>
          <w:rFonts w:ascii="思源黑体 CN Bold" w:hAnsi="思源黑体 CN Bold" w:eastAsia="思源黑体 CN Bold" w:cs="黑体"/>
          <w:b/>
          <w:sz w:val="32"/>
        </w:rPr>
      </w:pPr>
      <w:r>
        <w:rPr>
          <w:rFonts w:hint="eastAsia" w:ascii="思源黑体 CN Bold" w:hAnsi="思源黑体 CN Bold" w:eastAsia="思源黑体 CN Bold" w:cs="黑体"/>
          <w:b/>
          <w:sz w:val="32"/>
          <w:lang w:bidi="ar"/>
        </w:rPr>
        <w:t>2、第二种方式：新建会计期间</w:t>
      </w:r>
    </w:p>
    <w:p>
      <w:pPr>
        <w:pStyle w:val="12"/>
        <w:widowControl w:val="0"/>
        <w:autoSpaceDE w:val="0"/>
        <w:autoSpaceDN w:val="0"/>
        <w:spacing w:before="9" w:beforeAutospacing="0" w:after="0" w:afterAutospacing="0"/>
        <w:rPr>
          <w:rFonts w:ascii="思源黑体 CN Bold" w:hAnsi="思源黑体 CN Bold" w:eastAsia="思源黑体 CN Bold" w:cs="黑体"/>
          <w:b/>
          <w:sz w:val="35"/>
        </w:rPr>
      </w:pPr>
    </w:p>
    <w:p>
      <w:pPr>
        <w:pStyle w:val="12"/>
        <w:widowControl w:val="0"/>
        <w:autoSpaceDE w:val="0"/>
        <w:autoSpaceDN w:val="0"/>
        <w:spacing w:before="0" w:beforeAutospacing="0" w:after="0" w:afterAutospacing="0" w:line="336" w:lineRule="auto"/>
        <w:ind w:left="212" w:right="832" w:firstLine="480"/>
        <w:jc w:val="both"/>
        <w:rPr>
          <w:rFonts w:ascii="思源黑体 CN Bold" w:hAnsi="思源黑体 CN Bold" w:eastAsia="思源黑体 CN Bold" w:cs="黑体"/>
        </w:rPr>
      </w:pPr>
      <w:r>
        <w:rPr>
          <w:rFonts w:hint="eastAsia" w:ascii="思源黑体 CN Bold" w:hAnsi="思源黑体 CN Bold" w:eastAsia="思源黑体 CN Bold" w:cs="黑体"/>
          <w:lang w:bidi="ar"/>
        </w:rPr>
        <w:t>（1）由于本年度业务没有完成，12 月份业务没有结账，则不会自动生成下一年度的会计期间，但我们又需要进次年去录入单据，此时我们需要手工增加会计期间，操作步骤：依次点击“系统管理”—“基本设置”—“会计期间”，如下图所示：</w:t>
      </w:r>
    </w:p>
    <w:p>
      <w:pPr>
        <w:pStyle w:val="12"/>
        <w:widowControl w:val="0"/>
        <w:autoSpaceDE w:val="0"/>
        <w:autoSpaceDN w:val="0"/>
        <w:spacing w:before="0" w:beforeAutospacing="0" w:after="0" w:afterAutospacing="0" w:line="336" w:lineRule="auto"/>
        <w:ind w:left="212" w:right="832" w:firstLine="480"/>
        <w:jc w:val="center"/>
        <w:rPr>
          <w:rFonts w:ascii="思源黑体 CN Bold" w:hAnsi="思源黑体 CN Bold" w:eastAsia="思源黑体 CN Bold" w:cs="黑体"/>
          <w:lang w:bidi="ar"/>
        </w:rPr>
      </w:pPr>
      <w:r>
        <w:drawing>
          <wp:inline distT="0" distB="0" distL="114300" distR="114300">
            <wp:extent cx="4781550" cy="4276725"/>
            <wp:effectExtent l="0" t="0" r="0" b="9525"/>
            <wp:docPr id="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6"/>
        <w:widowControl w:val="0"/>
        <w:numPr>
          <w:ilvl w:val="0"/>
          <w:numId w:val="3"/>
        </w:numPr>
        <w:tabs>
          <w:tab w:val="left" w:pos="836"/>
        </w:tabs>
        <w:autoSpaceDE w:val="0"/>
        <w:autoSpaceDN w:val="0"/>
        <w:spacing w:before="38" w:beforeAutospacing="0" w:afterAutospacing="0" w:line="336" w:lineRule="auto"/>
        <w:ind w:right="831" w:firstLine="0"/>
        <w:rPr>
          <w:rFonts w:hint="default" w:ascii="思源黑体 CN Bold" w:hAnsi="思源黑体 CN Bold" w:eastAsia="思源黑体 CN Bold" w:cs="黑体"/>
        </w:rPr>
      </w:pPr>
      <w:r>
        <w:rPr>
          <w:rFonts w:ascii="思源黑体 CN Bold" w:hAnsi="思源黑体 CN Bold" w:eastAsia="思源黑体 CN Bold" w:cs="黑体"/>
          <w:spacing w:val="-10"/>
        </w:rPr>
        <w:t>以新年度的会计日期登入软件，“基础设置”—“财务信息设置”—“科目”—自动生成科目，如下图所示：</w:t>
      </w:r>
    </w:p>
    <w:p>
      <w:pPr>
        <w:pStyle w:val="12"/>
        <w:widowControl w:val="0"/>
        <w:autoSpaceDE w:val="0"/>
        <w:autoSpaceDN w:val="0"/>
        <w:spacing w:before="0" w:beforeAutospacing="0" w:after="0" w:afterAutospacing="0" w:line="336" w:lineRule="auto"/>
        <w:ind w:left="212" w:right="832" w:firstLine="480"/>
        <w:jc w:val="center"/>
        <w:rPr>
          <w:rFonts w:ascii="思源黑体 CN Bold" w:hAnsi="思源黑体 CN Bold" w:eastAsia="思源黑体 CN Bold" w:cs="黑体"/>
          <w:lang w:bidi="ar"/>
        </w:rPr>
      </w:pPr>
      <w:r>
        <w:drawing>
          <wp:inline distT="0" distB="0" distL="114300" distR="114300">
            <wp:extent cx="5443855" cy="979805"/>
            <wp:effectExtent l="9525" t="9525" r="20320" b="1397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43855" cy="97980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6"/>
        <w:widowControl w:val="0"/>
        <w:numPr>
          <w:ilvl w:val="0"/>
          <w:numId w:val="3"/>
        </w:numPr>
        <w:tabs>
          <w:tab w:val="left" w:pos="836"/>
        </w:tabs>
        <w:autoSpaceDE w:val="0"/>
        <w:autoSpaceDN w:val="0"/>
        <w:spacing w:beforeAutospacing="0" w:afterAutospacing="0" w:line="336" w:lineRule="auto"/>
        <w:ind w:right="709" w:firstLine="0"/>
        <w:rPr>
          <w:rFonts w:hint="default" w:ascii="思源黑体 CN Bold" w:hAnsi="思源黑体 CN Bold" w:eastAsia="思源黑体 CN Bold" w:cs="黑体"/>
        </w:rPr>
      </w:pPr>
      <w:r>
        <w:rPr>
          <w:rFonts w:ascii="思源黑体 CN Bold" w:hAnsi="思源黑体 CN Bold" w:eastAsia="思源黑体 CN Bold" w:cs="黑体"/>
          <w:spacing w:val="-1"/>
        </w:rPr>
        <w:t xml:space="preserve">弹出对话框提示：将会根据上年科目表生成本年度科目表，是否继续，点“是”即可， </w:t>
      </w:r>
      <w:r>
        <w:rPr>
          <w:rFonts w:ascii="思源黑体 CN Bold" w:hAnsi="思源黑体 CN Bold" w:eastAsia="思源黑体 CN Bold" w:cs="黑体"/>
        </w:rPr>
        <w:t>如下图所示：</w:t>
      </w:r>
    </w:p>
    <w:p>
      <w:pPr>
        <w:pStyle w:val="12"/>
        <w:widowControl w:val="0"/>
        <w:autoSpaceDE w:val="0"/>
        <w:autoSpaceDN w:val="0"/>
        <w:spacing w:before="0" w:beforeAutospacing="0" w:after="0" w:afterAutospacing="0" w:line="336" w:lineRule="auto"/>
        <w:ind w:left="212" w:right="832" w:firstLine="480"/>
        <w:jc w:val="center"/>
        <w:rPr>
          <w:rFonts w:ascii="思源黑体 CN Bold" w:hAnsi="思源黑体 CN Bold" w:eastAsia="思源黑体 CN Bold" w:cs="黑体"/>
          <w:lang w:bidi="ar"/>
        </w:rPr>
      </w:pPr>
      <w:r>
        <w:drawing>
          <wp:inline distT="0" distB="0" distL="114300" distR="114300">
            <wp:extent cx="5480050" cy="1751330"/>
            <wp:effectExtent l="9525" t="9525" r="9525" b="1714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175133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6"/>
        <w:widowControl w:val="0"/>
        <w:numPr>
          <w:ilvl w:val="0"/>
          <w:numId w:val="3"/>
        </w:numPr>
        <w:tabs>
          <w:tab w:val="left" w:pos="836"/>
        </w:tabs>
        <w:autoSpaceDE w:val="0"/>
        <w:autoSpaceDN w:val="0"/>
        <w:spacing w:before="38" w:beforeAutospacing="0" w:afterAutospacing="0"/>
        <w:ind w:left="835"/>
        <w:rPr>
          <w:rFonts w:hint="default" w:ascii="思源黑体 CN Bold" w:hAnsi="思源黑体 CN Bold" w:eastAsia="思源黑体 CN Bold" w:cs="黑体"/>
        </w:rPr>
      </w:pPr>
      <w:r>
        <w:rPr>
          <w:rFonts w:ascii="思源黑体 CN Bold" w:hAnsi="思源黑体 CN Bold" w:eastAsia="思源黑体 CN Bold" w:cs="黑体"/>
        </w:rPr>
        <w:t>自动生成科目成功，如下图所示：</w:t>
      </w:r>
    </w:p>
    <w:p>
      <w:pPr>
        <w:pStyle w:val="36"/>
        <w:tabs>
          <w:tab w:val="left" w:pos="836"/>
        </w:tabs>
        <w:ind w:firstLine="0"/>
        <w:jc w:val="center"/>
        <w:rPr>
          <w:rFonts w:hint="default" w:ascii="思源黑体 CN Bold" w:hAnsi="思源黑体 CN Bold" w:eastAsia="思源黑体 CN Bold" w:cs="黑体"/>
        </w:rPr>
      </w:pPr>
      <w:r>
        <w:drawing>
          <wp:inline distT="0" distB="0" distL="114300" distR="114300">
            <wp:extent cx="6009005" cy="1894205"/>
            <wp:effectExtent l="9525" t="9525" r="13970" b="1397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09005" cy="189420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6"/>
        <w:widowControl w:val="0"/>
        <w:numPr>
          <w:ilvl w:val="0"/>
          <w:numId w:val="3"/>
        </w:numPr>
        <w:tabs>
          <w:tab w:val="left" w:pos="836"/>
        </w:tabs>
        <w:autoSpaceDE w:val="0"/>
        <w:autoSpaceDN w:val="0"/>
        <w:spacing w:before="135" w:beforeAutospacing="0" w:afterAutospacing="0" w:line="336" w:lineRule="auto"/>
        <w:ind w:left="624" w:right="829" w:firstLine="0"/>
        <w:rPr>
          <w:rFonts w:hint="default" w:ascii="思源黑体 CN Bold" w:hAnsi="思源黑体 CN Bold" w:eastAsia="思源黑体 CN Bold" w:cs="黑体"/>
        </w:rPr>
      </w:pPr>
      <w:r>
        <w:rPr>
          <w:rFonts w:ascii="思源黑体 CN Bold" w:hAnsi="思源黑体 CN Bold" w:eastAsia="思源黑体 CN Bold" w:cs="黑体"/>
          <w:spacing w:val="-4"/>
        </w:rPr>
        <w:t xml:space="preserve">科目生成后，则可以做新年度的账，由于上年度 </w:t>
      </w:r>
      <w:r>
        <w:rPr>
          <w:rFonts w:ascii="思源黑体 CN Bold" w:hAnsi="思源黑体 CN Bold" w:eastAsia="思源黑体 CN Bold" w:cs="黑体"/>
        </w:rPr>
        <w:t>12</w:t>
      </w:r>
      <w:r>
        <w:rPr>
          <w:rFonts w:ascii="思源黑体 CN Bold" w:hAnsi="思源黑体 CN Bold" w:eastAsia="思源黑体 CN Bold" w:cs="黑体"/>
          <w:spacing w:val="-4"/>
        </w:rPr>
        <w:t xml:space="preserve"> 月份没有月结，则新年度的科目期初是没有数据的，如下图所示：</w:t>
      </w:r>
    </w:p>
    <w:p>
      <w:pPr>
        <w:pStyle w:val="12"/>
        <w:widowControl w:val="0"/>
        <w:autoSpaceDE w:val="0"/>
        <w:autoSpaceDN w:val="0"/>
        <w:spacing w:before="0" w:beforeAutospacing="0" w:after="0" w:afterAutospacing="0" w:line="336" w:lineRule="auto"/>
        <w:ind w:left="212" w:right="832" w:firstLine="480"/>
        <w:jc w:val="center"/>
        <w:rPr>
          <w:rFonts w:ascii="思源黑体 CN Bold" w:hAnsi="思源黑体 CN Bold" w:eastAsia="思源黑体 CN Bold" w:cs="黑体"/>
          <w:lang w:bidi="ar"/>
        </w:rPr>
      </w:pPr>
      <w:r>
        <w:drawing>
          <wp:inline distT="0" distB="0" distL="114300" distR="114300">
            <wp:extent cx="5114925" cy="8067675"/>
            <wp:effectExtent l="0" t="0" r="9525" b="9525"/>
            <wp:docPr id="5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6"/>
        <w:widowControl w:val="0"/>
        <w:numPr>
          <w:ilvl w:val="0"/>
          <w:numId w:val="3"/>
        </w:numPr>
        <w:tabs>
          <w:tab w:val="left" w:pos="836"/>
        </w:tabs>
        <w:autoSpaceDE w:val="0"/>
        <w:autoSpaceDN w:val="0"/>
        <w:spacing w:before="135" w:beforeAutospacing="0" w:afterAutospacing="0" w:line="336" w:lineRule="auto"/>
        <w:ind w:left="624" w:right="829" w:firstLine="0"/>
        <w:rPr>
          <w:rFonts w:hint="default" w:ascii="思源黑体 CN Bold" w:hAnsi="思源黑体 CN Bold" w:eastAsia="思源黑体 CN Bold" w:cs="黑体"/>
        </w:rPr>
      </w:pPr>
      <w:r>
        <w:rPr>
          <w:rFonts w:ascii="思源黑体 CN Bold" w:hAnsi="思源黑体 CN Bold" w:eastAsia="思源黑体 CN Bold" w:cs="黑体"/>
        </w:rPr>
        <w:t>上一年度，结完账后，则会把上年度的科目余额转为新年度的期初余额。</w:t>
      </w:r>
    </w:p>
    <w:p>
      <w:pPr>
        <w:pStyle w:val="36"/>
        <w:widowControl w:val="0"/>
        <w:numPr>
          <w:ilvl w:val="0"/>
          <w:numId w:val="0"/>
        </w:numPr>
        <w:tabs>
          <w:tab w:val="left" w:pos="836"/>
        </w:tabs>
        <w:autoSpaceDE w:val="0"/>
        <w:autoSpaceDN w:val="0"/>
        <w:spacing w:before="38" w:beforeAutospacing="0" w:afterAutospacing="0"/>
        <w:jc w:val="center"/>
        <w:rPr>
          <w:rFonts w:hint="default" w:ascii="思源黑体 CN Bold" w:hAnsi="思源黑体 CN Bold" w:eastAsia="思源黑体 CN Bold" w:cs="黑体"/>
        </w:rPr>
      </w:pPr>
      <w:r>
        <w:drawing>
          <wp:inline distT="0" distB="0" distL="114300" distR="114300">
            <wp:extent cx="5562600" cy="7972425"/>
            <wp:effectExtent l="0" t="0" r="0" b="9525"/>
            <wp:docPr id="5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widowControl w:val="0"/>
        <w:autoSpaceDE w:val="0"/>
        <w:autoSpaceDN w:val="0"/>
        <w:spacing w:before="181" w:beforeAutospacing="0" w:after="0" w:afterAutospacing="0" w:line="336" w:lineRule="auto"/>
        <w:ind w:left="411" w:right="831"/>
        <w:jc w:val="both"/>
        <w:rPr>
          <w:rFonts w:ascii="思源黑体 CN Bold" w:hAnsi="思源黑体 CN Bold" w:eastAsia="思源黑体 CN Bold" w:cs="黑体"/>
        </w:rPr>
      </w:pPr>
      <w:r>
        <w:rPr>
          <w:rFonts w:hint="eastAsia" w:ascii="思源黑体 CN Bold" w:hAnsi="思源黑体 CN Bold" w:eastAsia="思源黑体 CN Bold" w:cs="黑体"/>
          <w:lang w:bidi="ar"/>
        </w:rPr>
        <w:t>注意：如果是新建的会计期间，则需要在科目档案中点“自动生成科目”在上年12月份没有结账前不建议去调整科目，建议在上年12</w:t>
      </w:r>
      <w:r>
        <w:rPr>
          <w:rFonts w:hint="eastAsia" w:ascii="思源黑体 CN Bold" w:hAnsi="思源黑体 CN Bold" w:eastAsia="思源黑体 CN Bold" w:cs="黑体"/>
          <w:spacing w:val="-2"/>
          <w:lang w:bidi="ar"/>
        </w:rPr>
        <w:t>月结完账后，再去调整，否则容易造成结转数</w:t>
      </w:r>
      <w:r>
        <w:rPr>
          <w:rFonts w:hint="eastAsia" w:ascii="思源黑体 CN Bold" w:hAnsi="思源黑体 CN Bold" w:eastAsia="思源黑体 CN Bold" w:cs="黑体"/>
          <w:spacing w:val="-9"/>
          <w:lang w:bidi="ar"/>
        </w:rPr>
        <w:t>据错误；如果次年已经做过科目调整，请先进行科目对照</w:t>
      </w:r>
      <w:r>
        <w:rPr>
          <w:rFonts w:hint="eastAsia" w:ascii="思源黑体 CN Bold" w:hAnsi="思源黑体 CN Bold" w:eastAsia="思源黑体 CN Bold" w:cs="黑体"/>
          <w:spacing w:val="-119"/>
          <w:lang w:bidi="ar"/>
        </w:rPr>
        <w:t>（</w:t>
      </w:r>
      <w:r>
        <w:rPr>
          <w:rFonts w:hint="eastAsia" w:ascii="思源黑体 CN Bold" w:hAnsi="思源黑体 CN Bold" w:eastAsia="思源黑体 CN Bold" w:cs="黑体"/>
          <w:spacing w:val="-9"/>
          <w:lang w:bidi="ar"/>
        </w:rPr>
        <w:t>“基础设置”-“财务信息设置”</w:t>
      </w:r>
      <w:r>
        <w:rPr>
          <w:rFonts w:hint="eastAsia" w:ascii="思源黑体 CN Bold" w:hAnsi="思源黑体 CN Bold" w:eastAsia="思源黑体 CN Bold" w:cs="黑体"/>
          <w:spacing w:val="-11"/>
          <w:lang w:bidi="ar"/>
        </w:rPr>
        <w:t>-“科目”-“科目对照”</w:t>
      </w:r>
      <w:r>
        <w:rPr>
          <w:rFonts w:hint="eastAsia" w:ascii="思源黑体 CN Bold" w:hAnsi="思源黑体 CN Bold" w:eastAsia="思源黑体 CN Bold" w:cs="黑体"/>
          <w:lang w:bidi="ar"/>
        </w:rPr>
        <w:t>）操作再进行数据结转。</w:t>
      </w:r>
    </w:p>
    <w:p>
      <w:pPr>
        <w:pStyle w:val="2"/>
        <w:widowControl/>
        <w:rPr>
          <w:rFonts w:ascii="思源黑体 CN Bold" w:hAnsi="思源黑体 CN Bold" w:eastAsia="思源黑体 CN Bold" w:cs="黑体"/>
        </w:rPr>
      </w:pPr>
      <w:r>
        <w:rPr>
          <w:rFonts w:hint="eastAsia" w:ascii="思源黑体 CN Bold" w:hAnsi="思源黑体 CN Bold" w:eastAsia="思源黑体 CN Bold" w:cs="黑体"/>
        </w:rPr>
        <w:t>三、期间结转</w:t>
      </w:r>
    </w:p>
    <w:p>
      <w:pPr>
        <w:pStyle w:val="12"/>
        <w:widowControl w:val="0"/>
        <w:autoSpaceDE w:val="0"/>
        <w:autoSpaceDN w:val="0"/>
        <w:spacing w:before="0" w:beforeAutospacing="0" w:after="0" w:afterAutospacing="0"/>
        <w:rPr>
          <w:rFonts w:ascii="思源黑体 CN Bold" w:hAnsi="思源黑体 CN Bold" w:eastAsia="思源黑体 CN Bold" w:cs="黑体"/>
          <w:b/>
          <w:sz w:val="20"/>
        </w:rPr>
      </w:pPr>
    </w:p>
    <w:p>
      <w:pPr>
        <w:pStyle w:val="12"/>
        <w:widowControl w:val="0"/>
        <w:autoSpaceDE w:val="0"/>
        <w:autoSpaceDN w:val="0"/>
        <w:spacing w:before="2" w:beforeAutospacing="0" w:after="0" w:afterAutospacing="0"/>
        <w:rPr>
          <w:rFonts w:ascii="思源黑体 CN Bold" w:hAnsi="思源黑体 CN Bold" w:eastAsia="思源黑体 CN Bold" w:cs="黑体"/>
          <w:b/>
          <w:sz w:val="15"/>
        </w:rPr>
      </w:pPr>
    </w:p>
    <w:p>
      <w:pPr>
        <w:spacing w:before="84"/>
        <w:ind w:left="212"/>
        <w:rPr>
          <w:rFonts w:ascii="思源黑体 CN Bold" w:hAnsi="思源黑体 CN Bold" w:eastAsia="思源黑体 CN Bold" w:cs="黑体"/>
          <w:b/>
          <w:sz w:val="32"/>
        </w:rPr>
      </w:pPr>
      <w:bookmarkStart w:id="2" w:name="_bookmark7"/>
      <w:bookmarkEnd w:id="2"/>
      <w:r>
        <w:rPr>
          <w:rFonts w:hint="eastAsia" w:ascii="思源黑体 CN Bold" w:hAnsi="思源黑体 CN Bold" w:eastAsia="思源黑体 CN Bold" w:cs="黑体"/>
          <w:b/>
          <w:sz w:val="32"/>
          <w:lang w:bidi="ar"/>
        </w:rPr>
        <w:t>1、期间结转的步骤</w:t>
      </w:r>
    </w:p>
    <w:p>
      <w:pPr>
        <w:pStyle w:val="12"/>
        <w:widowControl w:val="0"/>
        <w:autoSpaceDE w:val="0"/>
        <w:autoSpaceDN w:val="0"/>
        <w:spacing w:before="6" w:beforeAutospacing="0" w:after="0" w:afterAutospacing="0"/>
        <w:rPr>
          <w:rFonts w:ascii="思源黑体 CN Bold" w:hAnsi="思源黑体 CN Bold" w:eastAsia="思源黑体 CN Bold" w:cs="黑体"/>
          <w:b/>
          <w:sz w:val="35"/>
        </w:rPr>
      </w:pPr>
    </w:p>
    <w:p>
      <w:pPr>
        <w:pStyle w:val="12"/>
        <w:widowControl w:val="0"/>
        <w:autoSpaceDE w:val="0"/>
        <w:autoSpaceDN w:val="0"/>
        <w:spacing w:before="0" w:beforeAutospacing="0" w:after="0" w:afterAutospacing="0" w:line="336" w:lineRule="auto"/>
        <w:ind w:left="212" w:right="833" w:firstLine="600"/>
        <w:rPr>
          <w:rFonts w:ascii="思源黑体 CN Bold" w:hAnsi="思源黑体 CN Bold" w:eastAsia="思源黑体 CN Bold" w:cs="黑体"/>
        </w:rPr>
      </w:pPr>
      <w:r>
        <w:rPr>
          <w:rFonts w:hint="eastAsia" w:ascii="思源黑体 CN Bold" w:hAnsi="思源黑体 CN Bold" w:eastAsia="思源黑体 CN Bold" w:cs="黑体"/>
          <w:spacing w:val="-18"/>
          <w:lang w:bidi="ar"/>
        </w:rPr>
        <w:t xml:space="preserve">期间结转的步骤为：各模块单据处理完毕，业务结账，财务结账，备份账套，更新补丁， </w:t>
      </w:r>
      <w:r>
        <w:rPr>
          <w:rFonts w:hint="eastAsia" w:ascii="思源黑体 CN Bold" w:hAnsi="思源黑体 CN Bold" w:eastAsia="思源黑体 CN Bold" w:cs="黑体"/>
          <w:lang w:bidi="ar"/>
        </w:rPr>
        <w:t>期间结转，核对数据。</w:t>
      </w:r>
    </w:p>
    <w:p>
      <w:pPr>
        <w:spacing w:before="278"/>
        <w:ind w:left="212"/>
        <w:rPr>
          <w:rFonts w:ascii="思源黑体 CN Bold" w:hAnsi="思源黑体 CN Bold" w:eastAsia="思源黑体 CN Bold" w:cs="黑体"/>
          <w:b/>
          <w:sz w:val="32"/>
        </w:rPr>
      </w:pPr>
      <w:bookmarkStart w:id="3" w:name="_bookmark8"/>
      <w:bookmarkEnd w:id="3"/>
      <w:r>
        <w:rPr>
          <w:rFonts w:hint="eastAsia" w:ascii="思源黑体 CN Bold" w:hAnsi="思源黑体 CN Bold" w:eastAsia="思源黑体 CN Bold" w:cs="黑体"/>
          <w:b/>
          <w:sz w:val="32"/>
          <w:lang w:bidi="ar"/>
        </w:rPr>
        <w:t>2、期间结转前</w:t>
      </w:r>
    </w:p>
    <w:p>
      <w:pPr>
        <w:pStyle w:val="12"/>
        <w:widowControl w:val="0"/>
        <w:autoSpaceDE w:val="0"/>
        <w:autoSpaceDN w:val="0"/>
        <w:spacing w:before="9" w:beforeAutospacing="0" w:after="0" w:afterAutospacing="0"/>
        <w:rPr>
          <w:rFonts w:ascii="思源黑体 CN Bold" w:hAnsi="思源黑体 CN Bold" w:eastAsia="思源黑体 CN Bold" w:cs="黑体"/>
          <w:b/>
          <w:sz w:val="35"/>
        </w:rPr>
      </w:pPr>
    </w:p>
    <w:p>
      <w:pPr>
        <w:pStyle w:val="4"/>
        <w:keepNext w:val="0"/>
        <w:keepLines w:val="0"/>
        <w:numPr>
          <w:ilvl w:val="0"/>
          <w:numId w:val="4"/>
        </w:numPr>
        <w:tabs>
          <w:tab w:val="left" w:pos="844"/>
        </w:tabs>
        <w:autoSpaceDE w:val="0"/>
        <w:autoSpaceDN w:val="0"/>
        <w:spacing w:before="0" w:after="0" w:line="336" w:lineRule="auto"/>
        <w:ind w:right="832" w:hanging="721"/>
        <w:jc w:val="left"/>
        <w:rPr>
          <w:rFonts w:ascii="思源黑体 CN Bold" w:hAnsi="思源黑体 CN Bold" w:eastAsia="思源黑体 CN Bold" w:cs="黑体"/>
          <w:color w:val="0000CC"/>
          <w:sz w:val="22"/>
        </w:rPr>
      </w:pPr>
      <w:r>
        <w:rPr>
          <w:rFonts w:hint="eastAsia" w:ascii="思源黑体 CN Bold" w:hAnsi="思源黑体 CN Bold" w:eastAsia="思源黑体 CN Bold" w:cs="黑体"/>
          <w:color w:val="0000CC"/>
          <w:spacing w:val="-15"/>
        </w:rPr>
        <w:t>准备工作</w:t>
      </w:r>
      <w:r>
        <w:rPr>
          <w:rFonts w:hint="eastAsia" w:ascii="思源黑体 CN Bold" w:hAnsi="思源黑体 CN Bold" w:eastAsia="思源黑体 CN Bold" w:cs="黑体"/>
          <w:color w:val="0000CC"/>
        </w:rPr>
        <w:t>（</w:t>
      </w:r>
      <w:r>
        <w:rPr>
          <w:rFonts w:hint="eastAsia" w:ascii="思源黑体 CN Bold" w:hAnsi="思源黑体 CN Bold" w:eastAsia="思源黑体 CN Bold" w:cs="黑体"/>
          <w:color w:val="0000CC"/>
          <w:spacing w:val="-4"/>
        </w:rPr>
        <w:t xml:space="preserve">由于 </w:t>
      </w:r>
      <w:r>
        <w:rPr>
          <w:rFonts w:hint="eastAsia" w:ascii="思源黑体 CN Bold" w:hAnsi="思源黑体 CN Bold" w:eastAsia="思源黑体 CN Bold" w:cs="黑体"/>
          <w:color w:val="0000CC"/>
        </w:rPr>
        <w:t>T+</w:t>
      </w:r>
      <w:r>
        <w:rPr>
          <w:rFonts w:hint="eastAsia" w:ascii="思源黑体 CN Bold" w:hAnsi="思源黑体 CN Bold" w:eastAsia="思源黑体 CN Bold" w:cs="黑体"/>
          <w:color w:val="0000CC"/>
          <w:spacing w:val="-5"/>
        </w:rPr>
        <w:t>软件期间结账后无法反期间结转，所以在进行期间结转操作前一定</w:t>
      </w:r>
      <w:r>
        <w:rPr>
          <w:rFonts w:hint="eastAsia" w:ascii="思源黑体 CN Bold" w:hAnsi="思源黑体 CN Bold" w:eastAsia="思源黑体 CN Bold" w:cs="黑体"/>
          <w:color w:val="0000CC"/>
          <w:spacing w:val="-14"/>
        </w:rPr>
        <w:t>要先进行数据备份！</w:t>
      </w:r>
      <w:r>
        <w:rPr>
          <w:rFonts w:hint="eastAsia" w:ascii="思源黑体 CN Bold" w:hAnsi="思源黑体 CN Bold" w:eastAsia="思源黑体 CN Bold" w:cs="黑体"/>
          <w:color w:val="0000CC"/>
        </w:rPr>
        <w:t>）</w:t>
      </w:r>
    </w:p>
    <w:p>
      <w:pPr>
        <w:pStyle w:val="4"/>
        <w:widowControl/>
        <w:ind w:left="215"/>
        <w:rPr>
          <w:rFonts w:ascii="思源黑体 CN Bold" w:hAnsi="思源黑体 CN Bold" w:eastAsia="思源黑体 CN Bold" w:cs="黑体"/>
        </w:rPr>
      </w:pPr>
      <w:r>
        <w:rPr>
          <w:rFonts w:hint="eastAsia" w:ascii="思源黑体 CN Bold" w:hAnsi="思源黑体 CN Bold" w:eastAsia="思源黑体 CN Bold" w:cs="黑体"/>
        </w:rPr>
        <w:t>a、各模块结账（业务结账、财务结账）</w:t>
      </w:r>
    </w:p>
    <w:p>
      <w:pPr>
        <w:pStyle w:val="12"/>
        <w:widowControl w:val="0"/>
        <w:autoSpaceDE w:val="0"/>
        <w:autoSpaceDN w:val="0"/>
        <w:spacing w:before="181" w:beforeAutospacing="0" w:after="0" w:afterAutospacing="0"/>
        <w:ind w:left="212"/>
        <w:rPr>
          <w:rFonts w:ascii="思源黑体 CN Bold" w:hAnsi="思源黑体 CN Bold" w:eastAsia="思源黑体 CN Bold" w:cs="黑体"/>
        </w:rPr>
      </w:pPr>
      <w:r>
        <w:rPr>
          <w:rFonts w:hint="eastAsia" w:ascii="思源黑体 CN Bold" w:hAnsi="思源黑体 CN Bold" w:eastAsia="思源黑体 CN Bold" w:cs="黑体"/>
          <w:lang w:bidi="ar"/>
        </w:rPr>
        <w:t>a1、业务结账，单击“系统管理”—“基本设置”—“业务结账”</w:t>
      </w:r>
    </w:p>
    <w:p>
      <w:pPr>
        <w:rPr>
          <w:rFonts w:ascii="思源黑体 CN Bold" w:hAnsi="思源黑体 CN Bold" w:eastAsia="思源黑体 CN Bold" w:cs="黑体"/>
          <w:lang w:bidi="ar"/>
        </w:rPr>
        <w:sectPr>
          <w:footerReference r:id="rId6" w:type="default"/>
          <w:pgSz w:w="11910" w:h="16840"/>
          <w:pgMar w:top="980" w:right="300" w:bottom="740" w:left="920" w:header="272" w:footer="551" w:gutter="0"/>
          <w:pgNumType w:start="6"/>
          <w:cols w:space="425" w:num="1"/>
          <w:docGrid w:type="lines" w:linePitch="312" w:charSpace="0"/>
        </w:sectPr>
      </w:pPr>
    </w:p>
    <w:p>
      <w:pPr>
        <w:pStyle w:val="12"/>
        <w:widowControl w:val="0"/>
        <w:autoSpaceDE w:val="0"/>
        <w:autoSpaceDN w:val="0"/>
        <w:spacing w:before="37" w:beforeAutospacing="0" w:after="0" w:afterAutospacing="0" w:line="336" w:lineRule="auto"/>
        <w:ind w:right="832"/>
        <w:jc w:val="both"/>
        <w:rPr>
          <w:rFonts w:hint="eastAsia" w:ascii="思源黑体 CN Bold" w:hAnsi="思源黑体 CN Bold" w:eastAsia="思源黑体 CN Bold" w:cs="黑体"/>
          <w:lang w:bidi="ar"/>
        </w:rPr>
      </w:pPr>
    </w:p>
    <w:p>
      <w:pPr>
        <w:pStyle w:val="12"/>
        <w:widowControl w:val="0"/>
        <w:autoSpaceDE w:val="0"/>
        <w:autoSpaceDN w:val="0"/>
        <w:spacing w:before="37" w:beforeAutospacing="0" w:after="0" w:afterAutospacing="0" w:line="336" w:lineRule="auto"/>
        <w:ind w:left="212" w:right="832"/>
        <w:jc w:val="both"/>
        <w:rPr>
          <w:rFonts w:hint="eastAsia" w:ascii="思源黑体 CN Bold" w:hAnsi="思源黑体 CN Bold" w:eastAsia="思源黑体 CN Bold" w:cs="黑体"/>
          <w:lang w:bidi="ar"/>
        </w:rPr>
      </w:pPr>
      <w:r>
        <w:drawing>
          <wp:inline distT="0" distB="0" distL="114300" distR="114300">
            <wp:extent cx="4343400" cy="5400675"/>
            <wp:effectExtent l="0" t="0" r="0" b="9525"/>
            <wp:docPr id="5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widowControl w:val="0"/>
        <w:autoSpaceDE w:val="0"/>
        <w:autoSpaceDN w:val="0"/>
        <w:spacing w:before="37" w:beforeAutospacing="0" w:after="0" w:afterAutospacing="0" w:line="336" w:lineRule="auto"/>
        <w:ind w:left="212" w:right="832"/>
        <w:jc w:val="both"/>
        <w:rPr>
          <w:rFonts w:ascii="思源黑体 CN Bold" w:hAnsi="思源黑体 CN Bold" w:eastAsia="思源黑体 CN Bold" w:cs="黑体"/>
        </w:rPr>
      </w:pPr>
      <w:r>
        <w:rPr>
          <w:rFonts w:hint="eastAsia" w:ascii="思源黑体 CN Bold" w:hAnsi="思源黑体 CN Bold" w:eastAsia="思源黑体 CN Bold" w:cs="黑体"/>
          <w:lang w:bidi="ar"/>
        </w:rPr>
        <w:t>a2、根据自己的需求决定是否选择勾上：结存数量为零，余额不为零的自动生成出库调整单选项，如勾上则有结存数量为零，余额不为零的，在期末处理时会自动生成出库调整单；如不勾则不生成。单击“期末结账”，结转成功后，则会有此提示。</w:t>
      </w:r>
    </w:p>
    <w:p>
      <w:pPr>
        <w:spacing w:line="336" w:lineRule="auto"/>
        <w:jc w:val="center"/>
      </w:pPr>
      <w:r>
        <w:drawing>
          <wp:inline distT="0" distB="0" distL="114300" distR="114300">
            <wp:extent cx="4295775" cy="5419725"/>
            <wp:effectExtent l="0" t="0" r="9525" b="9525"/>
            <wp:docPr id="5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36" w:lineRule="auto"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36" w:lineRule="auto"/>
        <w:ind w:left="0" w:leftChars="0" w:firstLine="476" w:firstLineChars="200"/>
        <w:jc w:val="left"/>
        <w:textAlignment w:val="auto"/>
        <w:rPr>
          <w:rFonts w:ascii="思源黑体 CN Bold" w:hAnsi="思源黑体 CN Bold" w:eastAsia="思源黑体 CN Bold" w:cs="黑体"/>
        </w:rPr>
      </w:pPr>
      <w:r>
        <w:rPr>
          <w:rFonts w:hint="eastAsia" w:ascii="思源黑体 CN Bold" w:hAnsi="思源黑体 CN Bold" w:eastAsia="思源黑体 CN Bold" w:cs="黑体"/>
          <w:spacing w:val="-1"/>
          <w:kern w:val="0"/>
          <w:sz w:val="24"/>
          <w:szCs w:val="24"/>
          <w:lang w:val="en-US" w:eastAsia="zh-CN" w:bidi="ar"/>
        </w:rPr>
        <w:t>注：如果期末结账失败，那么此时会有具体提示那些单据的业务流程没有完成，根据提示信息完成对应的操作再重新结账即可。</w:t>
      </w:r>
    </w:p>
    <w:p>
      <w:pPr>
        <w:pStyle w:val="12"/>
        <w:widowControl w:val="0"/>
        <w:autoSpaceDE w:val="0"/>
        <w:autoSpaceDN w:val="0"/>
        <w:spacing w:before="0" w:beforeAutospacing="0" w:after="0" w:afterAutospacing="0"/>
        <w:ind w:left="527"/>
        <w:rPr>
          <w:rFonts w:hint="eastAsia" w:ascii="思源黑体 CN Bold" w:hAnsi="思源黑体 CN Bold" w:eastAsia="思源黑体 CN Bold" w:cs="黑体"/>
          <w:spacing w:val="-5"/>
          <w:lang w:bidi="ar"/>
        </w:rPr>
      </w:pPr>
      <w:r>
        <w:rPr>
          <w:rFonts w:hint="eastAsia" w:ascii="思源黑体 CN Bold" w:hAnsi="思源黑体 CN Bold" w:eastAsia="思源黑体 CN Bold" w:cs="黑体"/>
          <w:spacing w:val="-1"/>
          <w:lang w:bidi="ar"/>
        </w:rPr>
        <w:t>A</w:t>
      </w:r>
      <w:r>
        <w:rPr>
          <w:rFonts w:hint="eastAsia" w:ascii="思源黑体 CN Bold" w:hAnsi="思源黑体 CN Bold" w:eastAsia="思源黑体 CN Bold" w:cs="黑体"/>
          <w:lang w:bidi="ar"/>
        </w:rPr>
        <w:t>3</w:t>
      </w:r>
      <w:r>
        <w:rPr>
          <w:rFonts w:hint="eastAsia" w:ascii="思源黑体 CN Bold" w:hAnsi="思源黑体 CN Bold" w:eastAsia="思源黑体 CN Bold" w:cs="黑体"/>
          <w:spacing w:val="-5"/>
          <w:lang w:bidi="ar"/>
        </w:rPr>
        <w:t>、单击“系统管理”—“基本设置”—“财务结账”点击“下一步”，如下图所示：</w:t>
      </w: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0" w:after="0" w:afterAutospacing="0"/>
        <w:ind w:left="0"/>
        <w:jc w:val="center"/>
        <w:textAlignment w:val="auto"/>
        <w:rPr>
          <w:rFonts w:ascii="思源黑体 CN Bold" w:hAnsi="思源黑体 CN Bold" w:eastAsia="思源黑体 CN Bold" w:cs="黑体"/>
          <w:lang w:bidi="ar"/>
        </w:rPr>
        <w:sectPr>
          <w:pgSz w:w="11910" w:h="16840"/>
          <w:pgMar w:top="980" w:right="300" w:bottom="740" w:left="920" w:header="272" w:footer="551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333875" cy="5457825"/>
            <wp:effectExtent l="0" t="0" r="9525" b="9525"/>
            <wp:docPr id="5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widowControl w:val="0"/>
        <w:autoSpaceDE w:val="0"/>
        <w:autoSpaceDN w:val="0"/>
        <w:spacing w:before="37" w:beforeAutospacing="0" w:after="0" w:afterAutospacing="0" w:line="336" w:lineRule="auto"/>
        <w:ind w:left="573" w:right="920"/>
        <w:rPr>
          <w:rFonts w:hint="eastAsia" w:ascii="思源黑体 CN Bold" w:hAnsi="思源黑体 CN Bold" w:eastAsia="思源黑体 CN Bold" w:cs="黑体"/>
          <w:lang w:eastAsia="zh-CN" w:bidi="ar"/>
        </w:rPr>
      </w:pPr>
      <w:r>
        <w:rPr>
          <w:rFonts w:hint="eastAsia" w:ascii="思源黑体 CN Bold" w:hAnsi="思源黑体 CN Bold" w:eastAsia="思源黑体 CN Bold" w:cs="黑体"/>
          <w:lang w:bidi="ar"/>
        </w:rPr>
        <w:t>A4、系统自动进行对账，对账成功后点击“下一步”，系统会有通过工作检查的提示信息，点击“结账”按钮就完成了财务模块的结账了，如下图所示</w:t>
      </w:r>
      <w:r>
        <w:rPr>
          <w:rFonts w:hint="eastAsia" w:ascii="思源黑体 CN Bold" w:hAnsi="思源黑体 CN Bold" w:eastAsia="思源黑体 CN Bold" w:cs="黑体"/>
          <w:lang w:eastAsia="zh-CN" w:bidi="ar"/>
        </w:rPr>
        <w:t>：</w:t>
      </w:r>
    </w:p>
    <w:p>
      <w:pPr>
        <w:pStyle w:val="12"/>
        <w:widowControl w:val="0"/>
        <w:autoSpaceDE w:val="0"/>
        <w:autoSpaceDN w:val="0"/>
        <w:spacing w:before="37" w:beforeAutospacing="0" w:after="0" w:afterAutospacing="0" w:line="336" w:lineRule="auto"/>
        <w:ind w:left="573" w:right="920"/>
        <w:rPr>
          <w:rFonts w:hint="eastAsia" w:ascii="思源黑体 CN Bold" w:hAnsi="思源黑体 CN Bold" w:eastAsia="思源黑体 CN Bold" w:cs="黑体"/>
          <w:lang w:eastAsia="zh-CN" w:bidi="ar"/>
        </w:rPr>
      </w:pPr>
    </w:p>
    <w:p>
      <w:pPr>
        <w:pStyle w:val="12"/>
        <w:widowControl w:val="0"/>
        <w:autoSpaceDE w:val="0"/>
        <w:autoSpaceDN w:val="0"/>
        <w:spacing w:before="37" w:beforeAutospacing="0" w:after="0" w:afterAutospacing="0" w:line="336" w:lineRule="auto"/>
        <w:ind w:left="573" w:right="920"/>
        <w:jc w:val="center"/>
      </w:pPr>
      <w:r>
        <w:drawing>
          <wp:inline distT="0" distB="0" distL="114300" distR="114300">
            <wp:extent cx="5045710" cy="3477895"/>
            <wp:effectExtent l="0" t="0" r="2540" b="8255"/>
            <wp:docPr id="5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widowControl w:val="0"/>
        <w:autoSpaceDE w:val="0"/>
        <w:autoSpaceDN w:val="0"/>
        <w:spacing w:before="37" w:beforeAutospacing="0" w:after="0" w:afterAutospacing="0" w:line="336" w:lineRule="auto"/>
        <w:ind w:left="573" w:right="920"/>
      </w:pPr>
    </w:p>
    <w:p>
      <w:pPr>
        <w:pStyle w:val="12"/>
        <w:widowControl w:val="0"/>
        <w:autoSpaceDE w:val="0"/>
        <w:autoSpaceDN w:val="0"/>
        <w:spacing w:before="37" w:beforeAutospacing="0" w:after="0" w:afterAutospacing="0" w:line="336" w:lineRule="auto"/>
        <w:ind w:left="573" w:right="920"/>
        <w:jc w:val="center"/>
        <w:rPr>
          <w:rFonts w:hint="eastAsia"/>
          <w:lang w:eastAsia="zh-CN"/>
        </w:rPr>
        <w:sectPr>
          <w:pgSz w:w="11910" w:h="16840"/>
          <w:pgMar w:top="980" w:right="300" w:bottom="740" w:left="920" w:header="272" w:footer="551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141595" cy="3514090"/>
            <wp:effectExtent l="12700" t="12700" r="14605" b="16510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41595" cy="35140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spacing w:before="37"/>
        <w:ind w:left="527"/>
        <w:rPr>
          <w:rFonts w:ascii="思源黑体 CN Bold" w:hAnsi="思源黑体 CN Bold" w:eastAsia="思源黑体 CN Bold" w:cs="黑体"/>
        </w:rPr>
      </w:pPr>
      <w:r>
        <w:rPr>
          <w:rFonts w:hint="eastAsia" w:ascii="思源黑体 CN Bold" w:hAnsi="思源黑体 CN Bold" w:eastAsia="思源黑体 CN Bold" w:cs="黑体"/>
          <w:b w:val="0"/>
        </w:rPr>
        <w:t xml:space="preserve">b、 </w:t>
      </w:r>
      <w:r>
        <w:rPr>
          <w:rFonts w:hint="eastAsia" w:ascii="思源黑体 CN Bold" w:hAnsi="思源黑体 CN Bold" w:eastAsia="思源黑体 CN Bold" w:cs="黑体"/>
        </w:rPr>
        <w:t>备份账套（从系统管理中备份或用账套工具备份）</w:t>
      </w:r>
    </w:p>
    <w:p>
      <w:pPr>
        <w:pStyle w:val="12"/>
        <w:widowControl w:val="0"/>
        <w:autoSpaceDE w:val="0"/>
        <w:autoSpaceDN w:val="0"/>
        <w:spacing w:before="91" w:beforeAutospacing="0" w:after="0" w:afterAutospacing="0" w:line="336" w:lineRule="auto"/>
        <w:ind w:left="573" w:right="782"/>
        <w:rPr>
          <w:rFonts w:hint="eastAsia" w:ascii="思源黑体 CN Bold" w:hAnsi="思源黑体 CN Bold" w:eastAsia="思源黑体 CN Bold" w:cs="黑体"/>
          <w:lang w:bidi="ar"/>
        </w:rPr>
      </w:pPr>
      <w:r>
        <w:rPr>
          <w:rFonts w:hint="eastAsia" w:ascii="思源黑体 CN Bold" w:hAnsi="思源黑体 CN Bold" w:eastAsia="思源黑体 CN Bold" w:cs="黑体"/>
          <w:lang w:bidi="ar"/>
        </w:rPr>
        <w:t>b1、用系统管理员 admin 用户登入系统管理进行账套备份，选中要备份的账套再点“备份”按钮，如下图所示：</w:t>
      </w:r>
    </w:p>
    <w:p>
      <w:pPr>
        <w:pStyle w:val="12"/>
        <w:widowControl w:val="0"/>
        <w:autoSpaceDE w:val="0"/>
        <w:autoSpaceDN w:val="0"/>
        <w:spacing w:before="91" w:beforeAutospacing="0" w:after="0" w:afterAutospacing="0" w:line="336" w:lineRule="auto"/>
        <w:ind w:left="573" w:right="782"/>
        <w:jc w:val="center"/>
        <w:rPr>
          <w:rFonts w:hint="eastAsia" w:ascii="思源黑体 CN Bold" w:hAnsi="思源黑体 CN Bold" w:eastAsia="思源黑体 CN Bold" w:cs="黑体"/>
          <w:lang w:bidi="ar"/>
        </w:rPr>
      </w:pPr>
      <w:r>
        <w:drawing>
          <wp:inline distT="0" distB="0" distL="114300" distR="114300">
            <wp:extent cx="5952490" cy="2632075"/>
            <wp:effectExtent l="12700" t="12700" r="16510" b="22225"/>
            <wp:docPr id="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52490" cy="26320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778625" cy="2846705"/>
            <wp:effectExtent l="0" t="0" r="3175" b="10795"/>
            <wp:docPr id="5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7862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left"/>
      </w:pPr>
    </w:p>
    <w:p>
      <w:pPr>
        <w:pStyle w:val="12"/>
        <w:widowControl w:val="0"/>
        <w:autoSpaceDE w:val="0"/>
        <w:autoSpaceDN w:val="0"/>
        <w:spacing w:before="91" w:beforeAutospacing="0" w:after="0" w:afterAutospacing="0" w:line="336" w:lineRule="auto"/>
        <w:ind w:left="573" w:right="782"/>
        <w:rPr>
          <w:rFonts w:hint="eastAsia" w:ascii="思源黑体 CN Bold" w:hAnsi="思源黑体 CN Bold" w:eastAsia="思源黑体 CN Bold" w:cs="黑体"/>
          <w:lang w:bidi="ar"/>
        </w:rPr>
      </w:pPr>
      <w:r>
        <w:rPr>
          <w:rFonts w:hint="eastAsia" w:ascii="思源黑体 CN Bold" w:hAnsi="思源黑体 CN Bold" w:eastAsia="思源黑体 CN Bold" w:cs="黑体"/>
          <w:lang w:bidi="ar"/>
        </w:rPr>
        <w:t>b2、选择账套备份路径，软件默认备份放在安装目录下，可以在账套备份提示窗口单击“浏览”按钮更改备份的账套存放的路径，如下图所示：</w:t>
      </w:r>
    </w:p>
    <w:p>
      <w:pPr>
        <w:pStyle w:val="12"/>
        <w:widowControl w:val="0"/>
        <w:autoSpaceDE w:val="0"/>
        <w:autoSpaceDN w:val="0"/>
        <w:spacing w:before="91" w:beforeAutospacing="0" w:after="0" w:afterAutospacing="0" w:line="336" w:lineRule="auto"/>
        <w:ind w:left="573" w:right="782"/>
        <w:rPr>
          <w:rFonts w:hint="eastAsia" w:ascii="思源黑体 CN Bold" w:hAnsi="思源黑体 CN Bold" w:eastAsia="思源黑体 CN Bold" w:cs="黑体"/>
          <w:lang w:bidi="ar"/>
        </w:rPr>
      </w:pPr>
      <w:r>
        <w:drawing>
          <wp:inline distT="0" distB="0" distL="114300" distR="114300">
            <wp:extent cx="6784975" cy="3089275"/>
            <wp:effectExtent l="0" t="0" r="15875" b="15875"/>
            <wp:docPr id="6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784975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widowControl w:val="0"/>
        <w:autoSpaceDE w:val="0"/>
        <w:autoSpaceDN w:val="0"/>
        <w:spacing w:before="91" w:beforeAutospacing="0" w:after="0" w:afterAutospacing="0" w:line="336" w:lineRule="auto"/>
        <w:ind w:left="573" w:right="782"/>
        <w:jc w:val="center"/>
        <w:rPr>
          <w:rFonts w:hint="eastAsia" w:ascii="思源黑体 CN Bold" w:hAnsi="思源黑体 CN Bold" w:eastAsia="思源黑体 CN Bold" w:cs="黑体"/>
          <w:lang w:bidi="ar"/>
        </w:rPr>
      </w:pPr>
    </w:p>
    <w:p>
      <w:pPr>
        <w:pStyle w:val="12"/>
        <w:widowControl w:val="0"/>
        <w:autoSpaceDE w:val="0"/>
        <w:autoSpaceDN w:val="0"/>
        <w:spacing w:before="37" w:beforeAutospacing="0" w:after="0" w:afterAutospacing="0" w:line="336" w:lineRule="auto"/>
        <w:ind w:left="354" w:right="830" w:firstLine="324"/>
        <w:jc w:val="both"/>
        <w:rPr>
          <w:rFonts w:ascii="思源黑体 CN Bold" w:hAnsi="思源黑体 CN Bold" w:eastAsia="思源黑体 CN Bold" w:cs="黑体"/>
        </w:rPr>
      </w:pPr>
      <w:r>
        <w:rPr>
          <w:rFonts w:hint="eastAsia" w:ascii="思源黑体 CN Bold" w:hAnsi="思源黑体 CN Bold" w:eastAsia="思源黑体 CN Bold" w:cs="黑体"/>
          <w:lang w:bidi="ar"/>
        </w:rPr>
        <w:t>b3、我们也可以使用 T+账套维护工具备份账套，操作步骤如下：依次单击“开始“— “程序”—“畅捷通 T+”—“工具箱”—“T+账套维护工具”选择“账套备份”页签， 点击备份按钮，如下图所示：</w:t>
      </w:r>
    </w:p>
    <w:p>
      <w:pPr>
        <w:pStyle w:val="12"/>
        <w:widowControl w:val="0"/>
        <w:autoSpaceDE w:val="0"/>
        <w:autoSpaceDN w:val="0"/>
        <w:spacing w:before="43" w:beforeAutospacing="0" w:after="0" w:afterAutospacing="0"/>
        <w:jc w:val="center"/>
      </w:pPr>
    </w:p>
    <w:p>
      <w:pPr>
        <w:pStyle w:val="12"/>
        <w:widowControl w:val="0"/>
        <w:autoSpaceDE w:val="0"/>
        <w:autoSpaceDN w:val="0"/>
        <w:spacing w:before="43" w:beforeAutospacing="0" w:after="0" w:afterAutospacing="0"/>
        <w:jc w:val="center"/>
      </w:pPr>
      <w:r>
        <w:drawing>
          <wp:inline distT="0" distB="0" distL="114300" distR="114300">
            <wp:extent cx="6296025" cy="3200400"/>
            <wp:effectExtent l="0" t="0" r="9525" b="0"/>
            <wp:docPr id="6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widowControl w:val="0"/>
        <w:autoSpaceDE w:val="0"/>
        <w:autoSpaceDN w:val="0"/>
        <w:spacing w:before="154" w:beforeAutospacing="0" w:after="0" w:afterAutospacing="0" w:line="336" w:lineRule="auto"/>
        <w:ind w:left="887" w:right="829" w:hanging="360"/>
        <w:jc w:val="both"/>
        <w:rPr>
          <w:rFonts w:ascii="思源黑体 CN Bold" w:hAnsi="思源黑体 CN Bold" w:eastAsia="思源黑体 CN Bold" w:cs="黑体"/>
        </w:rPr>
      </w:pPr>
      <w:r>
        <w:rPr>
          <w:rFonts w:hint="eastAsia" w:ascii="思源黑体 CN Bold" w:hAnsi="思源黑体 CN Bold" w:eastAsia="思源黑体 CN Bold" w:cs="黑体"/>
          <w:lang w:bidi="ar"/>
        </w:rPr>
        <w:t>c、 账套校检（将 b 步骤中备份的账套恢复进 T+软件进行检查，查看能否成功恢复来判断备份文件是否正常）</w:t>
      </w:r>
    </w:p>
    <w:p>
      <w:pPr>
        <w:pStyle w:val="12"/>
        <w:widowControl w:val="0"/>
        <w:autoSpaceDE w:val="0"/>
        <w:autoSpaceDN w:val="0"/>
        <w:spacing w:before="89" w:beforeAutospacing="0" w:after="0" w:afterAutospacing="0"/>
        <w:ind w:left="527"/>
        <w:rPr>
          <w:rFonts w:ascii="思源黑体 CN Bold" w:hAnsi="思源黑体 CN Bold" w:eastAsia="思源黑体 CN Bold" w:cs="黑体"/>
        </w:rPr>
      </w:pPr>
      <w:r>
        <w:rPr>
          <w:rFonts w:hint="eastAsia" w:ascii="思源黑体 CN Bold" w:hAnsi="思源黑体 CN Bold" w:eastAsia="思源黑体 CN Bold" w:cs="黑体"/>
          <w:lang w:bidi="ar"/>
        </w:rPr>
        <w:t>c1</w:t>
      </w:r>
      <w:r>
        <w:rPr>
          <w:rFonts w:hint="eastAsia" w:ascii="思源黑体 CN Bold" w:hAnsi="思源黑体 CN Bold" w:eastAsia="思源黑体 CN Bold" w:cs="黑体"/>
          <w:spacing w:val="-4"/>
          <w:lang w:bidi="ar"/>
        </w:rPr>
        <w:t xml:space="preserve">、同样是用系统管理员 </w:t>
      </w:r>
      <w:r>
        <w:rPr>
          <w:rFonts w:hint="eastAsia" w:ascii="思源黑体 CN Bold" w:hAnsi="思源黑体 CN Bold" w:eastAsia="思源黑体 CN Bold" w:cs="黑体"/>
          <w:lang w:bidi="ar"/>
        </w:rPr>
        <w:t>admin</w:t>
      </w:r>
      <w:r>
        <w:rPr>
          <w:rFonts w:hint="eastAsia" w:ascii="思源黑体 CN Bold" w:hAnsi="思源黑体 CN Bold" w:eastAsia="思源黑体 CN Bold" w:cs="黑体"/>
          <w:spacing w:val="-5"/>
          <w:lang w:bidi="ar"/>
        </w:rPr>
        <w:t xml:space="preserve"> 身份登录系统管理，点击“账套维护”-“恢复”，选择</w:t>
      </w:r>
      <w:r>
        <w:rPr>
          <w:rFonts w:hint="eastAsia" w:ascii="思源黑体 CN Bold" w:hAnsi="思源黑体 CN Bold" w:eastAsia="思源黑体 CN Bold" w:cs="黑体"/>
          <w:spacing w:val="-8"/>
          <w:lang w:bidi="ar"/>
        </w:rPr>
        <w:t>本地文件恢复，恢复账套方式选择新建账套，输入账套号和账套名称</w:t>
      </w:r>
      <w:r>
        <w:rPr>
          <w:rFonts w:hint="eastAsia" w:ascii="思源黑体 CN Bold" w:hAnsi="思源黑体 CN Bold" w:eastAsia="思源黑体 CN Bold" w:cs="黑体"/>
          <w:lang w:bidi="ar"/>
        </w:rPr>
        <w:t>（</w:t>
      </w:r>
      <w:r>
        <w:rPr>
          <w:rFonts w:hint="eastAsia" w:ascii="思源黑体 CN Bold" w:hAnsi="思源黑体 CN Bold" w:eastAsia="思源黑体 CN Bold" w:cs="黑体"/>
          <w:spacing w:val="-3"/>
          <w:lang w:bidi="ar"/>
        </w:rPr>
        <w:t>与之前备份的账号</w:t>
      </w:r>
      <w:r>
        <w:rPr>
          <w:rFonts w:hint="eastAsia" w:ascii="思源黑体 CN Bold" w:hAnsi="思源黑体 CN Bold" w:eastAsia="思源黑体 CN Bold" w:cs="黑体"/>
          <w:lang w:bidi="ar"/>
        </w:rPr>
        <w:t>号和账套名称尽量区分开来</w:t>
      </w:r>
      <w:r>
        <w:rPr>
          <w:rFonts w:hint="eastAsia" w:ascii="思源黑体 CN Bold" w:hAnsi="思源黑体 CN Bold" w:eastAsia="思源黑体 CN Bold" w:cs="黑体"/>
          <w:spacing w:val="-120"/>
          <w:lang w:bidi="ar"/>
        </w:rPr>
        <w:t>）</w:t>
      </w:r>
      <w:r>
        <w:rPr>
          <w:rFonts w:hint="eastAsia" w:ascii="思源黑体 CN Bold" w:hAnsi="思源黑体 CN Bold" w:eastAsia="思源黑体 CN Bold" w:cs="黑体"/>
          <w:spacing w:val="-13"/>
          <w:lang w:bidi="ar"/>
        </w:rPr>
        <w:t>，恢复类型选择“本地文件恢复”，点击浏览按钮，选择之前</w:t>
      </w:r>
      <w:r>
        <w:rPr>
          <w:rFonts w:hint="eastAsia" w:ascii="思源黑体 CN Bold" w:hAnsi="思源黑体 CN Bold" w:eastAsia="思源黑体 CN Bold" w:cs="黑体"/>
          <w:lang w:bidi="ar"/>
        </w:rPr>
        <w:t>备份的文件，如下图所示：</w:t>
      </w:r>
    </w:p>
    <w:p>
      <w:pPr>
        <w:pStyle w:val="12"/>
        <w:widowControl w:val="0"/>
        <w:autoSpaceDE w:val="0"/>
        <w:autoSpaceDN w:val="0"/>
        <w:spacing w:before="89" w:beforeAutospacing="0" w:after="0" w:afterAutospacing="0"/>
        <w:jc w:val="center"/>
        <w:rPr>
          <w:rFonts w:ascii="思源黑体 CN Bold" w:hAnsi="思源黑体 CN Bold" w:eastAsia="思源黑体 CN Bold" w:cs="黑体"/>
        </w:rPr>
      </w:pPr>
      <w:r>
        <w:drawing>
          <wp:inline distT="0" distB="0" distL="114300" distR="114300">
            <wp:extent cx="6786880" cy="4011930"/>
            <wp:effectExtent l="0" t="0" r="13970" b="7620"/>
            <wp:docPr id="6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786880" cy="40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widowControl w:val="0"/>
        <w:autoSpaceDE w:val="0"/>
        <w:autoSpaceDN w:val="0"/>
        <w:spacing w:before="12" w:beforeAutospacing="0" w:after="0" w:afterAutospacing="0"/>
        <w:rPr>
          <w:rFonts w:ascii="思源黑体 CN Bold" w:hAnsi="思源黑体 CN Bold" w:eastAsia="思源黑体 CN Bold" w:cs="黑体"/>
          <w:sz w:val="17"/>
        </w:rPr>
      </w:pPr>
    </w:p>
    <w:p>
      <w:pPr>
        <w:pStyle w:val="12"/>
        <w:widowControl w:val="0"/>
        <w:autoSpaceDE w:val="0"/>
        <w:autoSpaceDN w:val="0"/>
        <w:spacing w:before="0" w:beforeAutospacing="0" w:after="0" w:afterAutospacing="0" w:line="336" w:lineRule="auto"/>
        <w:ind w:left="573" w:right="831"/>
        <w:rPr>
          <w:rFonts w:ascii="思源黑体 CN Bold" w:hAnsi="思源黑体 CN Bold" w:eastAsia="思源黑体 CN Bold" w:cs="黑体"/>
        </w:rPr>
      </w:pPr>
      <w:r>
        <w:rPr>
          <w:rFonts w:hint="eastAsia" w:ascii="思源黑体 CN Bold" w:hAnsi="思源黑体 CN Bold" w:eastAsia="思源黑体 CN Bold" w:cs="黑体"/>
          <w:lang w:bidi="ar"/>
        </w:rPr>
        <w:t>c2</w:t>
      </w:r>
      <w:r>
        <w:rPr>
          <w:rFonts w:hint="eastAsia" w:ascii="思源黑体 CN Bold" w:hAnsi="思源黑体 CN Bold" w:eastAsia="思源黑体 CN Bold" w:cs="黑体"/>
          <w:spacing w:val="-14"/>
          <w:lang w:bidi="ar"/>
        </w:rPr>
        <w:t xml:space="preserve">、系统会提示超过 </w:t>
      </w:r>
      <w:r>
        <w:rPr>
          <w:rFonts w:hint="eastAsia" w:ascii="思源黑体 CN Bold" w:hAnsi="思源黑体 CN Bold" w:eastAsia="思源黑体 CN Bold" w:cs="黑体"/>
          <w:lang w:bidi="ar"/>
        </w:rPr>
        <w:t>2G</w:t>
      </w:r>
      <w:r>
        <w:rPr>
          <w:rFonts w:hint="eastAsia" w:ascii="思源黑体 CN Bold" w:hAnsi="思源黑体 CN Bold" w:eastAsia="思源黑体 CN Bold" w:cs="黑体"/>
          <w:spacing w:val="-17"/>
          <w:lang w:bidi="ar"/>
        </w:rPr>
        <w:t xml:space="preserve"> 的账套，请使用账套维护工具进行恢复，直接点击确定跳过即可， </w:t>
      </w:r>
      <w:r>
        <w:rPr>
          <w:rFonts w:hint="eastAsia" w:ascii="思源黑体 CN Bold" w:hAnsi="思源黑体 CN Bold" w:eastAsia="思源黑体 CN Bold" w:cs="黑体"/>
          <w:lang w:bidi="ar"/>
        </w:rPr>
        <w:t>等待账套是否能够成功恢复。</w:t>
      </w:r>
      <w:bookmarkStart w:id="6" w:name="_GoBack"/>
      <w:bookmarkEnd w:id="6"/>
    </w:p>
    <w:p>
      <w:pPr>
        <w:pStyle w:val="36"/>
        <w:widowControl w:val="0"/>
        <w:numPr>
          <w:ilvl w:val="0"/>
          <w:numId w:val="4"/>
        </w:numPr>
        <w:tabs>
          <w:tab w:val="left" w:pos="836"/>
        </w:tabs>
        <w:autoSpaceDE w:val="0"/>
        <w:autoSpaceDN w:val="0"/>
        <w:spacing w:before="279" w:beforeAutospacing="0" w:afterAutospacing="0" w:line="336" w:lineRule="auto"/>
        <w:ind w:right="874"/>
        <w:rPr>
          <w:rFonts w:hint="default" w:ascii="思源黑体 CN Bold" w:hAnsi="思源黑体 CN Bold" w:eastAsia="思源黑体 CN Bold" w:cs="黑体"/>
        </w:rPr>
      </w:pPr>
      <w:r>
        <w:rPr>
          <w:rFonts w:ascii="思源黑体 CN Bold" w:hAnsi="思源黑体 CN Bold" w:eastAsia="思源黑体 CN Bold" w:cs="黑体"/>
          <w:spacing w:val="-3"/>
        </w:rPr>
        <w:t xml:space="preserve">安装对应 </w:t>
      </w:r>
      <w:r>
        <w:rPr>
          <w:rFonts w:ascii="思源黑体 CN Bold" w:hAnsi="思源黑体 CN Bold" w:eastAsia="思源黑体 CN Bold" w:cs="黑体"/>
        </w:rPr>
        <w:t>T+软件最新补丁，补丁下载地址</w:t>
      </w:r>
      <w:r>
        <w:rPr>
          <w:rFonts w:hint="eastAsia" w:ascii="思源黑体 CN Bold" w:hAnsi="思源黑体 CN Bold" w:eastAsia="思源黑体 CN Bold" w:cs="黑体"/>
        </w:rPr>
        <w:t>https://www.chanjetvip.com/product/goods/goods-detail?id=53aaa40295d458e44f5d3ce5</w:t>
      </w:r>
      <w:r>
        <w:rPr>
          <w:rFonts w:ascii="思源黑体 CN Bold" w:hAnsi="思源黑体 CN Bold" w:eastAsia="思源黑体 CN Bold" w:cs="黑体"/>
          <w:spacing w:val="-2"/>
        </w:rPr>
        <w:t xml:space="preserve">，如下图为下载 </w:t>
      </w:r>
      <w:r>
        <w:rPr>
          <w:rFonts w:ascii="思源黑体 CN Bold" w:hAnsi="思源黑体 CN Bold" w:eastAsia="思源黑体 CN Bold" w:cs="黑体"/>
        </w:rPr>
        <w:t>T+专属云1</w:t>
      </w:r>
      <w:r>
        <w:rPr>
          <w:rFonts w:hint="eastAsia" w:ascii="思源黑体 CN Bold" w:hAnsi="思源黑体 CN Bold" w:eastAsia="思源黑体 CN Bold" w:cs="黑体"/>
          <w:lang w:val="en-US" w:eastAsia="zh-CN"/>
        </w:rPr>
        <w:t>8</w:t>
      </w:r>
      <w:r>
        <w:rPr>
          <w:rFonts w:ascii="思源黑体 CN Bold" w:hAnsi="思源黑体 CN Bold" w:eastAsia="思源黑体 CN Bold" w:cs="黑体"/>
        </w:rPr>
        <w:t>.0</w:t>
      </w:r>
      <w:r>
        <w:rPr>
          <w:rFonts w:ascii="思源黑体 CN Bold" w:hAnsi="思源黑体 CN Bold" w:eastAsia="思源黑体 CN Bold" w:cs="黑体"/>
          <w:spacing w:val="-3"/>
        </w:rPr>
        <w:t>的补丁包图示：</w:t>
      </w:r>
    </w:p>
    <w:p>
      <w:pPr>
        <w:spacing w:line="336" w:lineRule="auto"/>
        <w:rPr>
          <w:rFonts w:ascii="思源黑体 CN Bold" w:hAnsi="思源黑体 CN Bold" w:eastAsia="思源黑体 CN Bold" w:cs="黑体"/>
        </w:rPr>
      </w:pPr>
      <w:r>
        <w:rPr>
          <w:rFonts w:hint="eastAsia" w:ascii="思源黑体 CN Bold" w:hAnsi="思源黑体 CN Bold" w:eastAsia="思源黑体 CN Bold" w:cs="黑体"/>
          <w:lang w:bidi="ar"/>
        </w:rPr>
        <w:t xml:space="preserve">    </w:t>
      </w:r>
      <w:r>
        <w:drawing>
          <wp:inline distT="0" distB="0" distL="114300" distR="114300">
            <wp:extent cx="6782435" cy="1780540"/>
            <wp:effectExtent l="0" t="0" r="18415" b="10160"/>
            <wp:docPr id="6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82435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黑体 CN Bold" w:hAnsi="思源黑体 CN Bold" w:eastAsia="思源黑体 CN Bold" w:cs="黑体"/>
          <w:lang w:bidi="ar"/>
        </w:rPr>
        <w:t xml:space="preserve">   </w:t>
      </w:r>
      <w:r>
        <w:drawing>
          <wp:inline distT="0" distB="0" distL="114300" distR="114300">
            <wp:extent cx="6784340" cy="4667250"/>
            <wp:effectExtent l="0" t="0" r="16510" b="0"/>
            <wp:docPr id="6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78434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widowControl w:val="0"/>
        <w:autoSpaceDE w:val="0"/>
        <w:autoSpaceDN w:val="0"/>
        <w:spacing w:before="38" w:beforeAutospacing="0" w:after="0" w:afterAutospacing="0"/>
        <w:ind w:left="933"/>
        <w:rPr>
          <w:rFonts w:ascii="思源黑体 CN Bold" w:hAnsi="思源黑体 CN Bold" w:eastAsia="思源黑体 CN Bold" w:cs="黑体"/>
        </w:rPr>
      </w:pPr>
      <w:r>
        <w:rPr>
          <w:rFonts w:hint="eastAsia" w:ascii="思源黑体 CN Bold" w:hAnsi="思源黑体 CN Bold" w:eastAsia="思源黑体 CN Bold" w:cs="黑体"/>
          <w:lang w:bidi="ar"/>
        </w:rPr>
        <w:t>a、下载后是一个 setup.exe 的文件，直接双击，依次点击“下一步”进行安装;</w:t>
      </w:r>
    </w:p>
    <w:p>
      <w:pPr>
        <w:pStyle w:val="12"/>
        <w:widowControl w:val="0"/>
        <w:autoSpaceDE w:val="0"/>
        <w:autoSpaceDN w:val="0"/>
        <w:spacing w:before="182" w:beforeAutospacing="0" w:after="0" w:afterAutospacing="0" w:line="336" w:lineRule="auto"/>
        <w:ind w:left="933" w:right="833"/>
        <w:rPr>
          <w:rFonts w:ascii="思源黑体 CN Bold" w:hAnsi="思源黑体 CN Bold" w:eastAsia="思源黑体 CN Bold" w:cs="黑体"/>
        </w:rPr>
      </w:pPr>
      <w:r>
        <w:rPr>
          <w:rFonts w:hint="eastAsia" w:ascii="思源黑体 CN Bold" w:hAnsi="思源黑体 CN Bold" w:eastAsia="思源黑体 CN Bold" w:cs="黑体"/>
          <w:lang w:bidi="ar"/>
        </w:rPr>
        <w:t>b、安装快完成时，会有 T+服务器配置图示，直接点击确定即可，确定后重启 T+的相关服务补丁安装就完成了;</w:t>
      </w:r>
    </w:p>
    <w:p>
      <w:pPr>
        <w:pStyle w:val="12"/>
        <w:widowControl w:val="0"/>
        <w:autoSpaceDE w:val="0"/>
        <w:autoSpaceDN w:val="0"/>
        <w:spacing w:before="0" w:beforeAutospacing="0" w:after="0" w:afterAutospacing="0" w:line="336" w:lineRule="auto"/>
        <w:ind w:left="933" w:right="780"/>
        <w:rPr>
          <w:rFonts w:ascii="思源黑体 CN Bold" w:hAnsi="思源黑体 CN Bold" w:eastAsia="思源黑体 CN Bold" w:cs="黑体"/>
        </w:rPr>
      </w:pPr>
      <w:r>
        <w:rPr>
          <w:rFonts w:hint="eastAsia" w:ascii="思源黑体 CN Bold" w:hAnsi="思源黑体 CN Bold" w:eastAsia="思源黑体 CN Bold" w:cs="黑体"/>
          <w:lang w:bidi="ar"/>
        </w:rPr>
        <w:t>C、用 admin 登录系统管理，如果有账套显示为红色，点中账套，再点击“升级”进行升级即可。</w:t>
      </w:r>
    </w:p>
    <w:p>
      <w:pPr>
        <w:pStyle w:val="36"/>
        <w:widowControl w:val="0"/>
        <w:numPr>
          <w:ilvl w:val="0"/>
          <w:numId w:val="4"/>
        </w:numPr>
        <w:tabs>
          <w:tab w:val="left" w:pos="836"/>
        </w:tabs>
        <w:autoSpaceDE w:val="0"/>
        <w:autoSpaceDN w:val="0"/>
        <w:spacing w:before="1" w:beforeAutospacing="0" w:afterAutospacing="0" w:line="336" w:lineRule="auto"/>
        <w:ind w:right="828" w:hanging="721"/>
        <w:jc w:val="both"/>
        <w:rPr>
          <w:rFonts w:hint="default" w:ascii="思源黑体 CN Bold" w:hAnsi="思源黑体 CN Bold" w:eastAsia="思源黑体 CN Bold" w:cs="黑体"/>
        </w:rPr>
      </w:pPr>
      <w:r>
        <w:rPr>
          <w:rFonts w:ascii="思源黑体 CN Bold" w:hAnsi="思源黑体 CN Bold" w:eastAsia="思源黑体 CN Bold" w:cs="黑体"/>
          <w:spacing w:val="-7"/>
        </w:rPr>
        <w:t xml:space="preserve">单据录入情况说明：因为 </w:t>
      </w:r>
      <w:r>
        <w:rPr>
          <w:rFonts w:ascii="思源黑体 CN Bold" w:hAnsi="思源黑体 CN Bold" w:eastAsia="思源黑体 CN Bold" w:cs="黑体"/>
        </w:rPr>
        <w:t>T+</w:t>
      </w:r>
      <w:r>
        <w:rPr>
          <w:rFonts w:ascii="思源黑体 CN Bold" w:hAnsi="思源黑体 CN Bold" w:eastAsia="思源黑体 CN Bold" w:cs="黑体"/>
          <w:spacing w:val="-4"/>
        </w:rPr>
        <w:t>的期间结转可以选择任意期间进行结转，所以单据录入的</w:t>
      </w:r>
      <w:r>
        <w:rPr>
          <w:rFonts w:ascii="思源黑体 CN Bold" w:hAnsi="思源黑体 CN Bold" w:eastAsia="思源黑体 CN Bold" w:cs="黑体"/>
          <w:spacing w:val="-6"/>
        </w:rPr>
        <w:t>话不存在特别的要求</w:t>
      </w:r>
      <w:r>
        <w:rPr>
          <w:rFonts w:ascii="思源黑体 CN Bold" w:hAnsi="思源黑体 CN Bold" w:eastAsia="思源黑体 CN Bold" w:cs="黑体"/>
        </w:rPr>
        <w:t>（</w:t>
      </w:r>
      <w:r>
        <w:rPr>
          <w:rFonts w:ascii="思源黑体 CN Bold" w:hAnsi="思源黑体 CN Bold" w:eastAsia="思源黑体 CN Bold" w:cs="黑体"/>
          <w:spacing w:val="-2"/>
        </w:rPr>
        <w:t xml:space="preserve">比如说我做到了 </w:t>
      </w:r>
      <w:r>
        <w:rPr>
          <w:rFonts w:hint="eastAsia" w:ascii="思源黑体 CN Bold" w:hAnsi="思源黑体 CN Bold" w:eastAsia="思源黑体 CN Bold" w:cs="黑体"/>
          <w:lang w:eastAsia="zh-CN"/>
        </w:rPr>
        <w:t>2023</w:t>
      </w:r>
      <w:r>
        <w:rPr>
          <w:rFonts w:ascii="思源黑体 CN Bold" w:hAnsi="思源黑体 CN Bold" w:eastAsia="思源黑体 CN Bold" w:cs="黑体"/>
          <w:spacing w:val="-9"/>
        </w:rPr>
        <w:t xml:space="preserve"> 年 </w:t>
      </w:r>
      <w:r>
        <w:rPr>
          <w:rFonts w:ascii="思源黑体 CN Bold" w:hAnsi="思源黑体 CN Bold" w:eastAsia="思源黑体 CN Bold" w:cs="黑体"/>
        </w:rPr>
        <w:t>12</w:t>
      </w:r>
      <w:r>
        <w:rPr>
          <w:rFonts w:ascii="思源黑体 CN Bold" w:hAnsi="思源黑体 CN Bold" w:eastAsia="思源黑体 CN Bold" w:cs="黑体"/>
          <w:spacing w:val="-12"/>
        </w:rPr>
        <w:t xml:space="preserve"> 月，想从 </w:t>
      </w:r>
      <w:r>
        <w:rPr>
          <w:rFonts w:hint="eastAsia" w:ascii="思源黑体 CN Bold" w:hAnsi="思源黑体 CN Bold" w:eastAsia="思源黑体 CN Bold" w:cs="黑体"/>
          <w:lang w:eastAsia="zh-CN"/>
        </w:rPr>
        <w:t>202</w:t>
      </w:r>
      <w:r>
        <w:rPr>
          <w:rFonts w:hint="eastAsia" w:ascii="思源黑体 CN Bold" w:hAnsi="思源黑体 CN Bold" w:eastAsia="思源黑体 CN Bold" w:cs="黑体"/>
          <w:lang w:val="en-US" w:eastAsia="zh-CN"/>
        </w:rPr>
        <w:t>4</w:t>
      </w:r>
      <w:r>
        <w:rPr>
          <w:rFonts w:ascii="思源黑体 CN Bold" w:hAnsi="思源黑体 CN Bold" w:eastAsia="思源黑体 CN Bold" w:cs="黑体"/>
          <w:spacing w:val="-9"/>
        </w:rPr>
        <w:t xml:space="preserve"> 年 </w:t>
      </w:r>
      <w:r>
        <w:rPr>
          <w:rFonts w:ascii="思源黑体 CN Bold" w:hAnsi="思源黑体 CN Bold" w:eastAsia="思源黑体 CN Bold" w:cs="黑体"/>
        </w:rPr>
        <w:t>1</w:t>
      </w:r>
      <w:r>
        <w:rPr>
          <w:rFonts w:ascii="思源黑体 CN Bold" w:hAnsi="思源黑体 CN Bold" w:eastAsia="思源黑体 CN Bold" w:cs="黑体"/>
          <w:spacing w:val="-8"/>
        </w:rPr>
        <w:t xml:space="preserve"> 月 </w:t>
      </w:r>
      <w:r>
        <w:rPr>
          <w:rFonts w:ascii="思源黑体 CN Bold" w:hAnsi="思源黑体 CN Bold" w:eastAsia="思源黑体 CN Bold" w:cs="黑体"/>
        </w:rPr>
        <w:t>1</w:t>
      </w:r>
      <w:r>
        <w:rPr>
          <w:rFonts w:ascii="思源黑体 CN Bold" w:hAnsi="思源黑体 CN Bold" w:eastAsia="思源黑体 CN Bold" w:cs="黑体"/>
          <w:spacing w:val="-3"/>
        </w:rPr>
        <w:t xml:space="preserve"> 号进行期间结转也是可以的</w:t>
      </w:r>
      <w:r>
        <w:rPr>
          <w:rFonts w:ascii="思源黑体 CN Bold" w:hAnsi="思源黑体 CN Bold" w:eastAsia="思源黑体 CN Bold" w:cs="黑体"/>
          <w:spacing w:val="-120"/>
        </w:rPr>
        <w:t>）</w:t>
      </w:r>
      <w:r>
        <w:rPr>
          <w:rFonts w:ascii="思源黑体 CN Bold" w:hAnsi="思源黑体 CN Bold" w:eastAsia="思源黑体 CN Bold" w:cs="黑体"/>
        </w:rPr>
        <w:t>。</w:t>
      </w:r>
    </w:p>
    <w:p>
      <w:pPr>
        <w:spacing w:before="278"/>
        <w:ind w:left="212"/>
        <w:rPr>
          <w:rFonts w:ascii="思源黑体 CN Bold" w:hAnsi="思源黑体 CN Bold" w:eastAsia="思源黑体 CN Bold" w:cs="黑体"/>
          <w:b/>
          <w:sz w:val="32"/>
        </w:rPr>
      </w:pPr>
      <w:bookmarkStart w:id="4" w:name="_bookmark9"/>
      <w:bookmarkEnd w:id="4"/>
      <w:r>
        <w:rPr>
          <w:rFonts w:hint="eastAsia" w:ascii="思源黑体 CN Bold" w:hAnsi="思源黑体 CN Bold" w:eastAsia="思源黑体 CN Bold" w:cs="黑体"/>
          <w:b/>
          <w:sz w:val="32"/>
          <w:lang w:bidi="ar"/>
        </w:rPr>
        <w:t>3、期间结转中</w:t>
      </w:r>
    </w:p>
    <w:p>
      <w:pPr>
        <w:pStyle w:val="12"/>
        <w:widowControl w:val="0"/>
        <w:autoSpaceDE w:val="0"/>
        <w:autoSpaceDN w:val="0"/>
        <w:spacing w:before="9" w:beforeAutospacing="0" w:after="0" w:afterAutospacing="0"/>
        <w:rPr>
          <w:rFonts w:ascii="思源黑体 CN Bold" w:hAnsi="思源黑体 CN Bold" w:eastAsia="思源黑体 CN Bold" w:cs="黑体"/>
          <w:b/>
          <w:sz w:val="35"/>
        </w:rPr>
      </w:pPr>
    </w:p>
    <w:p>
      <w:pPr>
        <w:pStyle w:val="12"/>
        <w:widowControl w:val="0"/>
        <w:autoSpaceDE w:val="0"/>
        <w:autoSpaceDN w:val="0"/>
        <w:spacing w:before="37" w:beforeAutospacing="0" w:after="0" w:afterAutospacing="0"/>
        <w:ind w:left="212"/>
        <w:rPr>
          <w:rFonts w:hint="eastAsia" w:ascii="思源黑体 CN Bold" w:hAnsi="思源黑体 CN Bold" w:eastAsia="思源黑体 CN Bold" w:cs="黑体"/>
          <w:lang w:bidi="ar"/>
        </w:rPr>
      </w:pPr>
      <w:r>
        <w:rPr>
          <w:rFonts w:hint="eastAsia" w:ascii="思源黑体 CN Bold" w:hAnsi="思源黑体 CN Bold" w:eastAsia="思源黑体 CN Bold" w:cs="黑体"/>
          <w:lang w:eastAsia="zh-CN" w:bidi="ar"/>
        </w:rPr>
        <w:t>（</w:t>
      </w:r>
      <w:r>
        <w:rPr>
          <w:rFonts w:hint="eastAsia" w:ascii="思源黑体 CN Bold" w:hAnsi="思源黑体 CN Bold" w:eastAsia="思源黑体 CN Bold" w:cs="黑体"/>
          <w:lang w:val="en-US" w:eastAsia="zh-CN" w:bidi="ar"/>
        </w:rPr>
        <w:t>1</w:t>
      </w:r>
      <w:r>
        <w:rPr>
          <w:rFonts w:hint="eastAsia" w:ascii="思源黑体 CN Bold" w:hAnsi="思源黑体 CN Bold" w:eastAsia="思源黑体 CN Bold" w:cs="黑体"/>
          <w:lang w:eastAsia="zh-CN" w:bidi="ar"/>
        </w:rPr>
        <w:t>）</w:t>
      </w:r>
      <w:r>
        <w:rPr>
          <w:rFonts w:hint="eastAsia" w:ascii="思源黑体 CN Bold" w:hAnsi="思源黑体 CN Bold" w:eastAsia="思源黑体 CN Bold" w:cs="黑体"/>
          <w:lang w:bidi="ar"/>
        </w:rPr>
        <w:t>期间结转的流程</w:t>
      </w:r>
    </w:p>
    <w:p>
      <w:pPr>
        <w:pStyle w:val="12"/>
        <w:widowControl w:val="0"/>
        <w:numPr>
          <w:ilvl w:val="0"/>
          <w:numId w:val="0"/>
        </w:numPr>
        <w:autoSpaceDE w:val="0"/>
        <w:autoSpaceDN w:val="0"/>
        <w:spacing w:before="38" w:beforeAutospacing="0" w:after="0" w:afterAutospacing="0"/>
        <w:rPr>
          <w:rFonts w:hint="eastAsia" w:ascii="思源黑体 CN Bold" w:hAnsi="思源黑体 CN Bold" w:eastAsia="思源黑体 CN Bold" w:cs="黑体"/>
          <w:lang w:bidi="ar"/>
        </w:rPr>
      </w:pPr>
    </w:p>
    <w:p>
      <w:pPr>
        <w:pStyle w:val="12"/>
        <w:widowControl w:val="0"/>
        <w:autoSpaceDE w:val="0"/>
        <w:autoSpaceDN w:val="0"/>
        <w:spacing w:before="37" w:beforeAutospacing="0" w:after="0" w:afterAutospacing="0"/>
        <w:ind w:left="212"/>
        <w:rPr>
          <w:rFonts w:hint="eastAsia" w:ascii="思源黑体 CN Bold" w:hAnsi="思源黑体 CN Bold" w:eastAsia="思源黑体 CN Bold" w:cs="黑体"/>
          <w:lang w:bidi="ar"/>
        </w:rPr>
      </w:pPr>
      <w:r>
        <w:rPr>
          <w:rFonts w:hint="eastAsia" w:ascii="思源黑体 CN Bold" w:hAnsi="思源黑体 CN Bold" w:eastAsia="思源黑体 CN Bold" w:cs="黑体"/>
          <w:lang w:bidi="ar"/>
        </w:rPr>
        <w:t>a、使用系统管理员 admin 登录系统管理，点击“账套维护”，如下图所示：</w:t>
      </w:r>
    </w:p>
    <w:p>
      <w:pPr>
        <w:pStyle w:val="12"/>
        <w:widowControl w:val="0"/>
        <w:autoSpaceDE w:val="0"/>
        <w:autoSpaceDN w:val="0"/>
        <w:spacing w:before="0" w:beforeAutospacing="0" w:after="0" w:afterAutospacing="0"/>
        <w:ind w:left="214"/>
        <w:jc w:val="center"/>
        <w:rPr>
          <w:rFonts w:ascii="思源黑体 CN Bold" w:hAnsi="思源黑体 CN Bold" w:eastAsia="思源黑体 CN Bold" w:cs="黑体"/>
          <w:sz w:val="20"/>
        </w:rPr>
      </w:pPr>
      <w:r>
        <w:drawing>
          <wp:inline distT="0" distB="0" distL="114300" distR="114300">
            <wp:extent cx="6050915" cy="3021965"/>
            <wp:effectExtent l="12700" t="12700" r="19685" b="13335"/>
            <wp:docPr id="4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50915" cy="30219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2"/>
        <w:widowControl w:val="0"/>
        <w:autoSpaceDE w:val="0"/>
        <w:autoSpaceDN w:val="0"/>
        <w:spacing w:before="8" w:beforeAutospacing="0" w:after="0" w:afterAutospacing="0"/>
        <w:rPr>
          <w:rFonts w:ascii="思源黑体 CN Bold" w:hAnsi="思源黑体 CN Bold" w:eastAsia="思源黑体 CN Bold" w:cs="黑体"/>
          <w:sz w:val="9"/>
        </w:rPr>
      </w:pPr>
    </w:p>
    <w:p>
      <w:pPr>
        <w:pStyle w:val="12"/>
        <w:widowControl w:val="0"/>
        <w:autoSpaceDE w:val="0"/>
        <w:autoSpaceDN w:val="0"/>
        <w:spacing w:before="37" w:beforeAutospacing="0" w:after="0" w:afterAutospacing="0"/>
        <w:ind w:left="212"/>
        <w:rPr>
          <w:rFonts w:ascii="思源黑体 CN Bold" w:hAnsi="思源黑体 CN Bold" w:eastAsia="思源黑体 CN Bold" w:cs="黑体"/>
          <w:spacing w:val="-6"/>
          <w:lang w:bidi="ar"/>
        </w:rPr>
      </w:pPr>
      <w:r>
        <w:rPr>
          <w:rFonts w:hint="eastAsia" w:ascii="思源黑体 CN Bold" w:hAnsi="思源黑体 CN Bold" w:eastAsia="思源黑体 CN Bold" w:cs="黑体"/>
          <w:lang w:bidi="ar"/>
        </w:rPr>
        <w:t>b</w:t>
      </w:r>
      <w:r>
        <w:rPr>
          <w:rFonts w:hint="eastAsia" w:ascii="思源黑体 CN Bold" w:hAnsi="思源黑体 CN Bold" w:eastAsia="思源黑体 CN Bold" w:cs="黑体"/>
          <w:spacing w:val="-6"/>
          <w:lang w:bidi="ar"/>
        </w:rPr>
        <w:t>、选中要进行期间结转的账套，点击“期间结转”，如下图所示：</w:t>
      </w:r>
    </w:p>
    <w:p>
      <w:pPr>
        <w:pStyle w:val="12"/>
        <w:widowControl w:val="0"/>
        <w:autoSpaceDE w:val="0"/>
        <w:autoSpaceDN w:val="0"/>
        <w:spacing w:before="37" w:beforeAutospacing="0" w:after="0" w:afterAutospacing="0"/>
        <w:ind w:left="212"/>
        <w:jc w:val="center"/>
        <w:rPr>
          <w:rFonts w:ascii="思源黑体 CN Bold" w:hAnsi="思源黑体 CN Bold" w:eastAsia="思源黑体 CN Bold" w:cs="黑体"/>
        </w:rPr>
      </w:pPr>
      <w:r>
        <w:drawing>
          <wp:inline distT="0" distB="0" distL="114300" distR="114300">
            <wp:extent cx="6783070" cy="2778125"/>
            <wp:effectExtent l="0" t="0" r="17780" b="3175"/>
            <wp:docPr id="6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783070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widowControl w:val="0"/>
        <w:autoSpaceDE w:val="0"/>
        <w:autoSpaceDN w:val="0"/>
        <w:spacing w:before="0" w:beforeAutospacing="0" w:after="0" w:afterAutospacing="0"/>
        <w:ind w:right="713"/>
        <w:jc w:val="right"/>
        <w:rPr>
          <w:rFonts w:ascii="思源黑体 CN Bold" w:hAnsi="思源黑体 CN Bold" w:eastAsia="思源黑体 CN Bold" w:cs="黑体"/>
        </w:rPr>
      </w:pPr>
      <w:r>
        <w:rPr>
          <w:rFonts w:hint="eastAsia" w:ascii="思源黑体 CN Bold" w:hAnsi="思源黑体 CN Bold" w:eastAsia="思源黑体 CN Bold" w:cs="黑体"/>
          <w:lang w:bidi="ar"/>
        </w:rPr>
        <w:t xml:space="preserve"> </w:t>
      </w:r>
    </w:p>
    <w:p>
      <w:pPr>
        <w:pStyle w:val="12"/>
        <w:widowControl w:val="0"/>
        <w:autoSpaceDE w:val="0"/>
        <w:autoSpaceDN w:val="0"/>
        <w:spacing w:before="175" w:beforeAutospacing="0" w:after="0" w:afterAutospacing="0"/>
        <w:ind w:left="212"/>
        <w:rPr>
          <w:rFonts w:hint="eastAsia" w:ascii="思源黑体 CN Bold" w:hAnsi="思源黑体 CN Bold" w:eastAsia="思源黑体 CN Bold" w:cs="黑体"/>
          <w:lang w:eastAsia="zh-CN"/>
        </w:rPr>
      </w:pPr>
      <w:r>
        <w:rPr>
          <w:rFonts w:hint="eastAsia" w:ascii="思源黑体 CN Bold" w:hAnsi="思源黑体 CN Bold" w:eastAsia="思源黑体 CN Bold" w:cs="黑体"/>
          <w:lang w:bidi="ar"/>
        </w:rPr>
        <w:t xml:space="preserve">c、此时需要注意选择账套结转期间，这里可以是任意期间，如下图所示的结转情况是 </w:t>
      </w:r>
      <w:r>
        <w:rPr>
          <w:rFonts w:hint="eastAsia" w:ascii="思源黑体 CN Bold" w:hAnsi="思源黑体 CN Bold" w:eastAsia="思源黑体 CN Bold" w:cs="黑体"/>
          <w:lang w:eastAsia="zh-CN" w:bidi="ar"/>
        </w:rPr>
        <w:t>2023</w:t>
      </w:r>
    </w:p>
    <w:p>
      <w:pPr>
        <w:pStyle w:val="12"/>
        <w:widowControl w:val="0"/>
        <w:autoSpaceDE w:val="0"/>
        <w:autoSpaceDN w:val="0"/>
        <w:spacing w:before="182" w:beforeAutospacing="0" w:after="0" w:afterAutospacing="0"/>
        <w:ind w:left="212"/>
        <w:rPr>
          <w:rFonts w:ascii="思源黑体 CN Bold" w:hAnsi="思源黑体 CN Bold" w:eastAsia="思源黑体 CN Bold" w:cs="黑体"/>
        </w:rPr>
      </w:pPr>
      <w:r>
        <w:rPr>
          <w:rFonts w:hint="eastAsia" w:ascii="思源黑体 CN Bold" w:hAnsi="思源黑体 CN Bold" w:eastAsia="思源黑体 CN Bold" w:cs="黑体"/>
          <w:lang w:bidi="ar"/>
        </w:rPr>
        <w:t xml:space="preserve">年 12 月进行期间结转，同时新建 </w:t>
      </w:r>
      <w:r>
        <w:rPr>
          <w:rFonts w:hint="eastAsia" w:ascii="思源黑体 CN Bold" w:hAnsi="思源黑体 CN Bold" w:eastAsia="思源黑体 CN Bold" w:cs="黑体"/>
          <w:lang w:eastAsia="zh-CN" w:bidi="ar"/>
        </w:rPr>
        <w:t>202</w:t>
      </w:r>
      <w:r>
        <w:rPr>
          <w:rFonts w:hint="eastAsia" w:ascii="思源黑体 CN Bold" w:hAnsi="思源黑体 CN Bold" w:eastAsia="思源黑体 CN Bold" w:cs="黑体"/>
          <w:lang w:val="en-US" w:eastAsia="zh-CN" w:bidi="ar"/>
        </w:rPr>
        <w:t>4</w:t>
      </w:r>
      <w:r>
        <w:rPr>
          <w:rFonts w:hint="eastAsia" w:ascii="思源黑体 CN Bold" w:hAnsi="思源黑体 CN Bold" w:eastAsia="思源黑体 CN Bold" w:cs="黑体"/>
          <w:lang w:bidi="ar"/>
        </w:rPr>
        <w:t xml:space="preserve"> 年的期间：</w:t>
      </w:r>
    </w:p>
    <w:p>
      <w:pPr>
        <w:rPr>
          <w:rFonts w:ascii="思源黑体 CN Bold" w:hAnsi="思源黑体 CN Bold" w:eastAsia="思源黑体 CN Bold" w:cs="黑体"/>
          <w:lang w:bidi="ar"/>
        </w:rPr>
        <w:sectPr>
          <w:pgSz w:w="11910" w:h="16840"/>
          <w:pgMar w:top="980" w:right="300" w:bottom="740" w:left="920" w:header="272" w:footer="551" w:gutter="0"/>
          <w:cols w:space="425" w:num="1"/>
          <w:docGrid w:type="lines" w:linePitch="312" w:charSpace="0"/>
        </w:sectPr>
      </w:pPr>
    </w:p>
    <w:p>
      <w:pPr>
        <w:pStyle w:val="12"/>
        <w:widowControl w:val="0"/>
        <w:autoSpaceDE w:val="0"/>
        <w:autoSpaceDN w:val="0"/>
        <w:spacing w:before="12" w:beforeAutospacing="0" w:after="0" w:afterAutospacing="0"/>
        <w:rPr>
          <w:rFonts w:ascii="思源黑体 CN Bold" w:hAnsi="思源黑体 CN Bold" w:eastAsia="思源黑体 CN Bold" w:cs="黑体"/>
          <w:sz w:val="7"/>
        </w:rPr>
      </w:pPr>
    </w:p>
    <w:p>
      <w:pPr>
        <w:pStyle w:val="12"/>
        <w:widowControl w:val="0"/>
        <w:autoSpaceDE w:val="0"/>
        <w:autoSpaceDN w:val="0"/>
        <w:spacing w:before="0" w:beforeAutospacing="0" w:after="0" w:afterAutospacing="0"/>
        <w:ind w:left="214"/>
        <w:jc w:val="center"/>
        <w:rPr>
          <w:rFonts w:ascii="思源黑体 CN Bold" w:hAnsi="思源黑体 CN Bold" w:eastAsia="思源黑体 CN Bold" w:cs="黑体"/>
          <w:sz w:val="20"/>
        </w:rPr>
      </w:pPr>
      <w:r>
        <w:drawing>
          <wp:inline distT="0" distB="0" distL="114300" distR="114300">
            <wp:extent cx="4105275" cy="6029325"/>
            <wp:effectExtent l="0" t="0" r="9525" b="9525"/>
            <wp:docPr id="5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widowControl w:val="0"/>
        <w:autoSpaceDE w:val="0"/>
        <w:autoSpaceDN w:val="0"/>
        <w:spacing w:before="16" w:beforeAutospacing="0" w:after="0" w:afterAutospacing="0"/>
        <w:rPr>
          <w:rFonts w:ascii="思源黑体 CN Bold" w:hAnsi="思源黑体 CN Bold" w:eastAsia="思源黑体 CN Bold" w:cs="黑体"/>
          <w:sz w:val="23"/>
        </w:rPr>
      </w:pPr>
    </w:p>
    <w:p>
      <w:pPr>
        <w:spacing w:before="83"/>
        <w:ind w:left="212"/>
        <w:rPr>
          <w:rFonts w:ascii="思源黑体 CN Bold" w:hAnsi="思源黑体 CN Bold" w:eastAsia="思源黑体 CN Bold" w:cs="黑体"/>
          <w:b/>
          <w:sz w:val="32"/>
        </w:rPr>
      </w:pPr>
      <w:bookmarkStart w:id="5" w:name="_bookmark10"/>
      <w:bookmarkEnd w:id="5"/>
      <w:r>
        <w:rPr>
          <w:rFonts w:hint="eastAsia" w:ascii="思源黑体 CN Bold" w:hAnsi="思源黑体 CN Bold" w:eastAsia="思源黑体 CN Bold" w:cs="黑体"/>
          <w:b/>
          <w:sz w:val="32"/>
          <w:lang w:bidi="ar"/>
        </w:rPr>
        <w:t>4、期间结转后</w:t>
      </w:r>
    </w:p>
    <w:p>
      <w:pPr>
        <w:pStyle w:val="12"/>
        <w:widowControl w:val="0"/>
        <w:autoSpaceDE w:val="0"/>
        <w:autoSpaceDN w:val="0"/>
        <w:spacing w:before="9" w:beforeAutospacing="0" w:after="0" w:afterAutospacing="0"/>
        <w:rPr>
          <w:rFonts w:ascii="思源黑体 CN Bold" w:hAnsi="思源黑体 CN Bold" w:eastAsia="思源黑体 CN Bold" w:cs="黑体"/>
          <w:b/>
          <w:sz w:val="35"/>
        </w:rPr>
      </w:pPr>
    </w:p>
    <w:p>
      <w:pPr>
        <w:pStyle w:val="36"/>
        <w:widowControl w:val="0"/>
        <w:numPr>
          <w:ilvl w:val="0"/>
          <w:numId w:val="5"/>
        </w:numPr>
        <w:tabs>
          <w:tab w:val="left" w:pos="836"/>
        </w:tabs>
        <w:autoSpaceDE w:val="0"/>
        <w:autoSpaceDN w:val="0"/>
        <w:spacing w:beforeAutospacing="0" w:afterAutospacing="0"/>
        <w:rPr>
          <w:rFonts w:hint="default" w:ascii="思源黑体 CN Bold" w:hAnsi="思源黑体 CN Bold" w:eastAsia="思源黑体 CN Bold" w:cs="黑体"/>
          <w:b/>
          <w:i/>
        </w:rPr>
      </w:pPr>
      <w:r>
        <w:rPr>
          <w:rFonts w:ascii="思源黑体 CN Bold" w:hAnsi="思源黑体 CN Bold" w:eastAsia="思源黑体 CN Bold" w:cs="黑体"/>
          <w:b/>
          <w:i/>
        </w:rPr>
        <w:t>期间结转后对账（</w:t>
      </w:r>
      <w:r>
        <w:rPr>
          <w:rFonts w:ascii="思源黑体 CN Bold" w:hAnsi="思源黑体 CN Bold" w:eastAsia="思源黑体 CN Bold" w:cs="黑体"/>
          <w:b/>
          <w:i/>
          <w:spacing w:val="-4"/>
        </w:rPr>
        <w:t xml:space="preserve">如从 </w:t>
      </w:r>
      <w:r>
        <w:rPr>
          <w:rFonts w:hint="eastAsia" w:ascii="思源黑体 CN Bold" w:hAnsi="思源黑体 CN Bold" w:eastAsia="思源黑体 CN Bold" w:cs="黑体"/>
          <w:b/>
          <w:lang w:eastAsia="zh-CN"/>
        </w:rPr>
        <w:t>2023</w:t>
      </w:r>
      <w:r>
        <w:rPr>
          <w:rFonts w:ascii="思源黑体 CN Bold" w:hAnsi="思源黑体 CN Bold" w:eastAsia="思源黑体 CN Bold" w:cs="黑体"/>
          <w:b/>
          <w:spacing w:val="-11"/>
        </w:rPr>
        <w:t xml:space="preserve"> </w:t>
      </w:r>
      <w:r>
        <w:rPr>
          <w:rFonts w:ascii="思源黑体 CN Bold" w:hAnsi="思源黑体 CN Bold" w:eastAsia="思源黑体 CN Bold" w:cs="黑体"/>
          <w:b/>
          <w:i/>
          <w:spacing w:val="-7"/>
        </w:rPr>
        <w:t xml:space="preserve">年 </w:t>
      </w:r>
      <w:r>
        <w:rPr>
          <w:rFonts w:ascii="思源黑体 CN Bold" w:hAnsi="思源黑体 CN Bold" w:eastAsia="思源黑体 CN Bold" w:cs="黑体"/>
          <w:b/>
        </w:rPr>
        <w:t>12</w:t>
      </w:r>
      <w:r>
        <w:rPr>
          <w:rFonts w:ascii="思源黑体 CN Bold" w:hAnsi="思源黑体 CN Bold" w:eastAsia="思源黑体 CN Bold" w:cs="黑体"/>
          <w:b/>
          <w:spacing w:val="-11"/>
        </w:rPr>
        <w:t xml:space="preserve"> </w:t>
      </w:r>
      <w:r>
        <w:rPr>
          <w:rFonts w:ascii="思源黑体 CN Bold" w:hAnsi="思源黑体 CN Bold" w:eastAsia="思源黑体 CN Bold" w:cs="黑体"/>
          <w:b/>
          <w:i/>
          <w:spacing w:val="-3"/>
        </w:rPr>
        <w:t xml:space="preserve">月期间结转至 </w:t>
      </w:r>
      <w:r>
        <w:rPr>
          <w:rFonts w:hint="eastAsia" w:ascii="思源黑体 CN Bold" w:hAnsi="思源黑体 CN Bold" w:eastAsia="思源黑体 CN Bold" w:cs="黑体"/>
          <w:b/>
          <w:lang w:eastAsia="zh-CN"/>
        </w:rPr>
        <w:t>202</w:t>
      </w:r>
      <w:r>
        <w:rPr>
          <w:rFonts w:hint="eastAsia" w:ascii="思源黑体 CN Bold" w:hAnsi="思源黑体 CN Bold" w:eastAsia="思源黑体 CN Bold" w:cs="黑体"/>
          <w:b/>
          <w:lang w:val="en-US" w:eastAsia="zh-CN"/>
        </w:rPr>
        <w:t>4</w:t>
      </w:r>
      <w:r>
        <w:rPr>
          <w:rFonts w:ascii="思源黑体 CN Bold" w:hAnsi="思源黑体 CN Bold" w:eastAsia="思源黑体 CN Bold" w:cs="黑体"/>
          <w:b/>
          <w:i/>
          <w:spacing w:val="-7"/>
        </w:rPr>
        <w:t xml:space="preserve">年 </w:t>
      </w:r>
      <w:r>
        <w:rPr>
          <w:rFonts w:ascii="思源黑体 CN Bold" w:hAnsi="思源黑体 CN Bold" w:eastAsia="思源黑体 CN Bold" w:cs="黑体"/>
          <w:b/>
        </w:rPr>
        <w:t>1</w:t>
      </w:r>
      <w:r>
        <w:rPr>
          <w:rFonts w:ascii="思源黑体 CN Bold" w:hAnsi="思源黑体 CN Bold" w:eastAsia="思源黑体 CN Bold" w:cs="黑体"/>
          <w:b/>
          <w:spacing w:val="-11"/>
        </w:rPr>
        <w:t xml:space="preserve"> </w:t>
      </w:r>
      <w:r>
        <w:rPr>
          <w:rFonts w:ascii="思源黑体 CN Bold" w:hAnsi="思源黑体 CN Bold" w:eastAsia="思源黑体 CN Bold" w:cs="黑体"/>
          <w:b/>
          <w:i/>
        </w:rPr>
        <w:t>月）</w:t>
      </w:r>
    </w:p>
    <w:p>
      <w:pPr>
        <w:pStyle w:val="12"/>
        <w:widowControl w:val="0"/>
        <w:autoSpaceDE w:val="0"/>
        <w:autoSpaceDN w:val="0"/>
        <w:spacing w:before="1" w:beforeAutospacing="0" w:after="0" w:afterAutospacing="0"/>
        <w:rPr>
          <w:rFonts w:ascii="思源黑体 CN Bold" w:hAnsi="思源黑体 CN Bold" w:eastAsia="思源黑体 CN Bold" w:cs="黑体"/>
          <w:b/>
          <w:i/>
          <w:sz w:val="6"/>
        </w:rPr>
      </w:pPr>
    </w:p>
    <w:tbl>
      <w:tblPr>
        <w:tblStyle w:val="14"/>
        <w:tblW w:w="0" w:type="auto"/>
        <w:tblInd w:w="124" w:type="dxa"/>
        <w:tblBorders>
          <w:top w:val="single" w:color="FFFFFF" w:sz="36" w:space="0"/>
          <w:left w:val="single" w:color="FFFFFF" w:sz="36" w:space="0"/>
          <w:bottom w:val="single" w:color="FFFFFF" w:sz="36" w:space="0"/>
          <w:right w:val="single" w:color="FFFFFF" w:sz="36" w:space="0"/>
          <w:insideH w:val="single" w:color="FFFFFF" w:sz="36" w:space="0"/>
          <w:insideV w:val="single" w:color="FFFFFF" w:sz="3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28"/>
        <w:gridCol w:w="6408"/>
      </w:tblGrid>
      <w:tr>
        <w:tblPrEx>
          <w:tblBorders>
            <w:top w:val="single" w:color="FFFFFF" w:sz="36" w:space="0"/>
            <w:left w:val="single" w:color="FFFFFF" w:sz="36" w:space="0"/>
            <w:bottom w:val="single" w:color="FFFFFF" w:sz="36" w:space="0"/>
            <w:right w:val="single" w:color="FFFFFF" w:sz="36" w:space="0"/>
            <w:insideH w:val="single" w:color="FFFFFF" w:sz="36" w:space="0"/>
            <w:insideV w:val="single" w:color="FFFFFF" w:sz="3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3228" w:type="dxa"/>
            <w:tcBorders>
              <w:top w:val="nil"/>
              <w:left w:val="nil"/>
              <w:bottom w:val="single" w:color="FFFFFF" w:sz="36" w:space="0"/>
              <w:right w:val="single" w:color="FFFFFF" w:sz="24" w:space="0"/>
            </w:tcBorders>
            <w:shd w:val="clear" w:color="auto" w:fill="4F81BC"/>
          </w:tcPr>
          <w:p>
            <w:pPr>
              <w:pStyle w:val="35"/>
              <w:widowControl/>
              <w:spacing w:before="89"/>
              <w:ind w:left="95"/>
              <w:rPr>
                <w:rFonts w:hint="default" w:ascii="思源黑体 CN Bold" w:hAnsi="思源黑体 CN Bold" w:eastAsia="思源黑体 CN Bold" w:cs="黑体"/>
                <w:b/>
                <w:i/>
                <w:sz w:val="24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b/>
                <w:i/>
                <w:color w:val="FFFFFF"/>
                <w:sz w:val="24"/>
                <w:lang w:eastAsia="en-US"/>
              </w:rPr>
              <w:t>期间结转后账套</w:t>
            </w:r>
          </w:p>
        </w:tc>
        <w:tc>
          <w:tcPr>
            <w:tcW w:w="6408" w:type="dxa"/>
            <w:tcBorders>
              <w:top w:val="nil"/>
              <w:left w:val="single" w:color="FFFFFF" w:sz="24" w:space="0"/>
              <w:bottom w:val="single" w:color="FFFFFF" w:sz="36" w:space="0"/>
              <w:right w:val="nil"/>
            </w:tcBorders>
            <w:shd w:val="clear" w:color="auto" w:fill="4F81BC"/>
          </w:tcPr>
          <w:p>
            <w:pPr>
              <w:pStyle w:val="35"/>
              <w:widowControl/>
              <w:spacing w:before="89"/>
              <w:ind w:left="78"/>
              <w:rPr>
                <w:rFonts w:hint="default" w:ascii="思源黑体 CN Bold" w:hAnsi="思源黑体 CN Bold" w:eastAsia="思源黑体 CN Bold" w:cs="黑体"/>
                <w:b/>
                <w:i/>
                <w:sz w:val="24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b/>
                <w:i/>
                <w:color w:val="FFFFFF"/>
                <w:sz w:val="24"/>
                <w:lang w:eastAsia="en-US"/>
              </w:rPr>
              <w:t>原账套</w:t>
            </w:r>
          </w:p>
        </w:tc>
      </w:tr>
      <w:tr>
        <w:tblPrEx>
          <w:tblBorders>
            <w:top w:val="single" w:color="FFFFFF" w:sz="36" w:space="0"/>
            <w:left w:val="single" w:color="FFFFFF" w:sz="36" w:space="0"/>
            <w:bottom w:val="single" w:color="FFFFFF" w:sz="36" w:space="0"/>
            <w:right w:val="single" w:color="FFFFFF" w:sz="36" w:space="0"/>
            <w:insideH w:val="single" w:color="FFFFFF" w:sz="36" w:space="0"/>
            <w:insideV w:val="single" w:color="FFFFFF" w:sz="3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3228" w:type="dxa"/>
            <w:tcBorders>
              <w:top w:val="single" w:color="FFFFFF" w:sz="36" w:space="0"/>
              <w:left w:val="nil"/>
              <w:bottom w:val="single" w:color="FFFFFF" w:sz="8" w:space="0"/>
              <w:right w:val="single" w:color="FFFFFF" w:sz="24" w:space="0"/>
            </w:tcBorders>
            <w:shd w:val="clear" w:color="auto" w:fill="4F81BC"/>
          </w:tcPr>
          <w:p>
            <w:pPr>
              <w:pStyle w:val="35"/>
              <w:widowControl/>
              <w:spacing w:before="77"/>
              <w:ind w:left="95"/>
              <w:rPr>
                <w:rFonts w:hint="default" w:ascii="思源黑体 CN Bold" w:hAnsi="思源黑体 CN Bold" w:eastAsia="思源黑体 CN Bold" w:cs="黑体"/>
                <w:b/>
                <w:i/>
                <w:sz w:val="24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b/>
                <w:i/>
                <w:color w:val="FFFFFF"/>
                <w:sz w:val="24"/>
                <w:lang w:eastAsia="en-US"/>
              </w:rPr>
              <w:t>科目期初余额</w:t>
            </w:r>
          </w:p>
        </w:tc>
        <w:tc>
          <w:tcPr>
            <w:tcW w:w="6408" w:type="dxa"/>
            <w:tcBorders>
              <w:top w:val="single" w:color="FFFFFF" w:sz="36" w:space="0"/>
              <w:left w:val="single" w:color="FFFFFF" w:sz="24" w:space="0"/>
              <w:bottom w:val="single" w:color="FFFFFF" w:sz="8" w:space="0"/>
              <w:right w:val="nil"/>
            </w:tcBorders>
            <w:shd w:val="clear" w:color="auto" w:fill="A7BEDE"/>
          </w:tcPr>
          <w:p>
            <w:pPr>
              <w:pStyle w:val="35"/>
              <w:widowControl/>
              <w:spacing w:before="77"/>
              <w:ind w:left="78"/>
              <w:rPr>
                <w:rFonts w:hint="default" w:ascii="思源黑体 CN Bold" w:hAnsi="思源黑体 CN Bold" w:eastAsia="思源黑体 CN Bold" w:cs="黑体"/>
                <w:sz w:val="24"/>
              </w:rPr>
            </w:pPr>
            <w:r>
              <w:rPr>
                <w:rFonts w:hint="eastAsia" w:ascii="思源黑体 CN Bold" w:hAnsi="思源黑体 CN Bold" w:eastAsia="思源黑体 CN Bold" w:cs="黑体"/>
                <w:sz w:val="24"/>
                <w:lang w:eastAsia="zh-CN"/>
              </w:rPr>
              <w:t>2023</w:t>
            </w:r>
            <w:r>
              <w:rPr>
                <w:rFonts w:ascii="思源黑体 CN Bold" w:hAnsi="思源黑体 CN Bold" w:eastAsia="思源黑体 CN Bold" w:cs="黑体"/>
                <w:sz w:val="24"/>
              </w:rPr>
              <w:t xml:space="preserve"> 年 12 月总账余额表期末余额</w:t>
            </w:r>
          </w:p>
        </w:tc>
      </w:tr>
      <w:tr>
        <w:tblPrEx>
          <w:tblBorders>
            <w:top w:val="single" w:color="FFFFFF" w:sz="36" w:space="0"/>
            <w:left w:val="single" w:color="FFFFFF" w:sz="36" w:space="0"/>
            <w:bottom w:val="single" w:color="FFFFFF" w:sz="36" w:space="0"/>
            <w:right w:val="single" w:color="FFFFFF" w:sz="36" w:space="0"/>
            <w:insideH w:val="single" w:color="FFFFFF" w:sz="36" w:space="0"/>
            <w:insideV w:val="single" w:color="FFFFFF" w:sz="3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9636" w:type="dxa"/>
            <w:gridSpan w:val="2"/>
            <w:tcBorders>
              <w:top w:val="single" w:color="FFFFFF" w:sz="8" w:space="0"/>
              <w:left w:val="nil"/>
              <w:bottom w:val="single" w:color="FFFFFF" w:sz="12" w:space="0"/>
              <w:right w:val="nil"/>
            </w:tcBorders>
            <w:shd w:val="clear" w:color="auto" w:fill="4F81BC"/>
          </w:tcPr>
          <w:p>
            <w:pPr>
              <w:pStyle w:val="35"/>
              <w:widowControl/>
              <w:spacing w:before="88"/>
              <w:ind w:left="95"/>
              <w:rPr>
                <w:rFonts w:hint="default" w:ascii="思源黑体 CN Bold" w:hAnsi="思源黑体 CN Bold" w:eastAsia="思源黑体 CN Bold" w:cs="黑体"/>
                <w:b/>
                <w:i/>
                <w:sz w:val="24"/>
              </w:rPr>
            </w:pPr>
            <w:r>
              <w:rPr>
                <w:rFonts w:ascii="思源黑体 CN Bold" w:hAnsi="思源黑体 CN Bold" w:eastAsia="思源黑体 CN Bold" w:cs="黑体"/>
                <w:b/>
                <w:i/>
                <w:color w:val="FFFFFF"/>
                <w:sz w:val="24"/>
              </w:rPr>
              <w:t>现金流量期初：无（总账启用期间为第一会计期间，不允许维护现金流量期初！）</w:t>
            </w:r>
          </w:p>
        </w:tc>
      </w:tr>
      <w:tr>
        <w:tblPrEx>
          <w:tblBorders>
            <w:top w:val="single" w:color="FFFFFF" w:sz="36" w:space="0"/>
            <w:left w:val="single" w:color="FFFFFF" w:sz="36" w:space="0"/>
            <w:bottom w:val="single" w:color="FFFFFF" w:sz="36" w:space="0"/>
            <w:right w:val="single" w:color="FFFFFF" w:sz="36" w:space="0"/>
            <w:insideH w:val="single" w:color="FFFFFF" w:sz="36" w:space="0"/>
            <w:insideV w:val="single" w:color="FFFFFF" w:sz="3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3228" w:type="dxa"/>
            <w:tcBorders>
              <w:top w:val="single" w:color="FFFFFF" w:sz="12" w:space="0"/>
              <w:left w:val="nil"/>
              <w:bottom w:val="nil"/>
              <w:right w:val="single" w:color="FFFFFF" w:sz="24" w:space="0"/>
            </w:tcBorders>
            <w:shd w:val="clear" w:color="auto" w:fill="4F81BC"/>
          </w:tcPr>
          <w:p>
            <w:pPr>
              <w:pStyle w:val="35"/>
              <w:widowControl/>
              <w:spacing w:before="84"/>
              <w:ind w:left="95"/>
              <w:rPr>
                <w:rFonts w:hint="default" w:ascii="思源黑体 CN Bold" w:hAnsi="思源黑体 CN Bold" w:eastAsia="思源黑体 CN Bold" w:cs="黑体"/>
                <w:b/>
                <w:i/>
                <w:sz w:val="24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b/>
                <w:i/>
                <w:color w:val="FFFFFF"/>
                <w:sz w:val="24"/>
                <w:lang w:eastAsia="en-US"/>
              </w:rPr>
              <w:t>库存期初</w:t>
            </w:r>
          </w:p>
        </w:tc>
        <w:tc>
          <w:tcPr>
            <w:tcW w:w="6408" w:type="dxa"/>
            <w:tcBorders>
              <w:top w:val="single" w:color="FFFFFF" w:sz="12" w:space="0"/>
              <w:left w:val="single" w:color="FFFFFF" w:sz="24" w:space="0"/>
              <w:bottom w:val="nil"/>
              <w:right w:val="nil"/>
            </w:tcBorders>
            <w:shd w:val="clear" w:color="auto" w:fill="A7BEDE"/>
          </w:tcPr>
          <w:p>
            <w:pPr>
              <w:pStyle w:val="35"/>
              <w:widowControl/>
              <w:spacing w:before="84"/>
              <w:ind w:left="78"/>
              <w:rPr>
                <w:rFonts w:hint="default" w:ascii="思源黑体 CN Bold" w:hAnsi="思源黑体 CN Bold" w:eastAsia="思源黑体 CN Bold" w:cs="黑体"/>
                <w:sz w:val="24"/>
              </w:rPr>
            </w:pPr>
            <w:r>
              <w:rPr>
                <w:rFonts w:hint="eastAsia" w:ascii="思源黑体 CN Bold" w:hAnsi="思源黑体 CN Bold" w:eastAsia="思源黑体 CN Bold" w:cs="黑体"/>
                <w:sz w:val="24"/>
                <w:lang w:eastAsia="zh-CN"/>
              </w:rPr>
              <w:t>2023</w:t>
            </w:r>
            <w:r>
              <w:rPr>
                <w:rFonts w:ascii="思源黑体 CN Bold" w:hAnsi="思源黑体 CN Bold" w:eastAsia="思源黑体 CN Bold" w:cs="黑体"/>
                <w:sz w:val="24"/>
              </w:rPr>
              <w:t xml:space="preserve"> 年 12 月存货总账结存数量和金额</w:t>
            </w:r>
          </w:p>
        </w:tc>
      </w:tr>
    </w:tbl>
    <w:p>
      <w:pPr>
        <w:rPr>
          <w:rFonts w:ascii="思源黑体 CN Bold" w:hAnsi="思源黑体 CN Bold" w:eastAsia="思源黑体 CN Bold" w:cs="黑体"/>
          <w:sz w:val="24"/>
          <w:lang w:bidi="ar"/>
        </w:rPr>
        <w:sectPr>
          <w:pgSz w:w="11910" w:h="16840"/>
          <w:pgMar w:top="980" w:right="300" w:bottom="740" w:left="920" w:header="272" w:footer="551" w:gutter="0"/>
          <w:cols w:space="425" w:num="1"/>
          <w:docGrid w:type="lines" w:linePitch="312" w:charSpace="0"/>
        </w:sectPr>
      </w:pPr>
    </w:p>
    <w:p>
      <w:pPr>
        <w:pStyle w:val="12"/>
        <w:widowControl w:val="0"/>
        <w:autoSpaceDE w:val="0"/>
        <w:autoSpaceDN w:val="0"/>
        <w:spacing w:before="3" w:beforeAutospacing="0" w:after="0" w:afterAutospacing="0"/>
        <w:rPr>
          <w:rFonts w:ascii="思源黑体 CN Bold" w:hAnsi="思源黑体 CN Bold" w:eastAsia="思源黑体 CN Bold" w:cs="黑体"/>
          <w:b/>
          <w:i/>
          <w:sz w:val="12"/>
        </w:rPr>
      </w:pPr>
    </w:p>
    <w:tbl>
      <w:tblPr>
        <w:tblStyle w:val="14"/>
        <w:tblW w:w="0" w:type="auto"/>
        <w:tblInd w:w="12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28"/>
        <w:gridCol w:w="6538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2" w:hRule="atLeast"/>
        </w:trPr>
        <w:tc>
          <w:tcPr>
            <w:tcW w:w="9766" w:type="dxa"/>
            <w:gridSpan w:val="2"/>
            <w:tcBorders>
              <w:top w:val="single" w:color="000000" w:sz="6" w:space="0"/>
              <w:left w:val="nil"/>
              <w:bottom w:val="nil"/>
              <w:right w:val="nil"/>
            </w:tcBorders>
            <w:shd w:val="clear" w:color="auto" w:fill="4F81BC"/>
          </w:tcPr>
          <w:p>
            <w:pPr>
              <w:pStyle w:val="35"/>
              <w:widowControl/>
              <w:spacing w:before="110" w:line="336" w:lineRule="auto"/>
              <w:ind w:left="95" w:right="173"/>
              <w:rPr>
                <w:rFonts w:hint="default" w:ascii="思源黑体 CN Bold" w:hAnsi="思源黑体 CN Bold" w:eastAsia="思源黑体 CN Bold" w:cs="黑体"/>
                <w:b/>
                <w:i/>
                <w:sz w:val="24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b/>
                <w:i/>
                <w:color w:val="FFFFFF"/>
                <w:sz w:val="24"/>
              </w:rPr>
              <w:t>往来期初：按明细结转，显示“无”（注：期间结转过来的往来期初余额不允许查看，数据显示在应收</w:t>
            </w:r>
            <w:r>
              <w:rPr>
                <w:rFonts w:ascii="思源黑体 CN Bold" w:hAnsi="思源黑体 CN Bold" w:eastAsia="思源黑体 CN Bold" w:cs="黑体"/>
                <w:b/>
                <w:color w:val="FFFFFF"/>
                <w:sz w:val="24"/>
              </w:rPr>
              <w:t>/</w:t>
            </w:r>
            <w:r>
              <w:rPr>
                <w:rFonts w:ascii="思源黑体 CN Bold" w:hAnsi="思源黑体 CN Bold" w:eastAsia="思源黑体 CN Bold" w:cs="黑体"/>
                <w:b/>
                <w:i/>
                <w:color w:val="FFFFFF"/>
                <w:sz w:val="24"/>
              </w:rPr>
              <w:t>应付总账和明细账中，付款核销时可以过滤出来。</w:t>
            </w:r>
            <w:r>
              <w:rPr>
                <w:rFonts w:ascii="思源黑体 CN Bold" w:hAnsi="思源黑体 CN Bold" w:eastAsia="思源黑体 CN Bold" w:cs="黑体"/>
                <w:b/>
                <w:i/>
                <w:color w:val="FFFFFF"/>
                <w:sz w:val="24"/>
                <w:lang w:eastAsia="en-US"/>
              </w:rPr>
              <w:t>），按余额结转时，可以</w:t>
            </w:r>
          </w:p>
          <w:p>
            <w:pPr>
              <w:pStyle w:val="35"/>
              <w:widowControl/>
              <w:spacing w:line="441" w:lineRule="exact"/>
              <w:ind w:left="95"/>
              <w:rPr>
                <w:rFonts w:hint="default" w:ascii="思源黑体 CN Bold" w:hAnsi="思源黑体 CN Bold" w:eastAsia="思源黑体 CN Bold" w:cs="黑体"/>
                <w:b/>
                <w:i/>
                <w:sz w:val="24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b/>
                <w:i/>
                <w:color w:val="FFFFFF"/>
                <w:sz w:val="24"/>
                <w:lang w:eastAsia="en-US"/>
              </w:rPr>
              <w:t>查看。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3228" w:type="dxa"/>
            <w:shd w:val="clear" w:color="auto" w:fill="4F81BC"/>
          </w:tcPr>
          <w:p>
            <w:pPr>
              <w:pStyle w:val="35"/>
              <w:widowControl/>
              <w:spacing w:before="99"/>
              <w:ind w:left="95"/>
              <w:rPr>
                <w:rFonts w:hint="default" w:ascii="思源黑体 CN Bold" w:hAnsi="思源黑体 CN Bold" w:eastAsia="思源黑体 CN Bold" w:cs="黑体"/>
                <w:b/>
                <w:i/>
                <w:sz w:val="24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b/>
                <w:i/>
                <w:color w:val="FFFFFF"/>
                <w:sz w:val="24"/>
                <w:lang w:eastAsia="en-US"/>
              </w:rPr>
              <w:t>现金银行期初</w:t>
            </w:r>
          </w:p>
        </w:tc>
        <w:tc>
          <w:tcPr>
            <w:tcW w:w="6538" w:type="dxa"/>
            <w:shd w:val="clear" w:color="auto" w:fill="A7BEDE"/>
          </w:tcPr>
          <w:p>
            <w:pPr>
              <w:pStyle w:val="35"/>
              <w:widowControl/>
              <w:spacing w:before="99"/>
              <w:ind w:left="108"/>
              <w:rPr>
                <w:rFonts w:hint="default" w:ascii="思源黑体 CN Bold" w:hAnsi="思源黑体 CN Bold" w:eastAsia="思源黑体 CN Bold" w:cs="黑体"/>
                <w:sz w:val="24"/>
              </w:rPr>
            </w:pPr>
            <w:r>
              <w:rPr>
                <w:rFonts w:ascii="思源黑体 CN Bold" w:hAnsi="思源黑体 CN Bold" w:eastAsia="思源黑体 CN Bold" w:cs="黑体"/>
                <w:sz w:val="24"/>
              </w:rPr>
              <w:t>现金银行余额表（现金银行-现金银行账-现金银行余额表）</w:t>
            </w:r>
          </w:p>
        </w:tc>
      </w:tr>
    </w:tbl>
    <w:p>
      <w:pPr>
        <w:pStyle w:val="12"/>
        <w:widowControl w:val="0"/>
        <w:autoSpaceDE w:val="0"/>
        <w:autoSpaceDN w:val="0"/>
        <w:spacing w:before="15" w:beforeAutospacing="0" w:after="0" w:afterAutospacing="0"/>
        <w:rPr>
          <w:rFonts w:ascii="思源黑体 CN Bold" w:hAnsi="思源黑体 CN Bold" w:eastAsia="思源黑体 CN Bold" w:cs="黑体"/>
          <w:b/>
          <w:i/>
          <w:sz w:val="3"/>
        </w:rPr>
      </w:pPr>
    </w:p>
    <w:p>
      <w:pPr>
        <w:pStyle w:val="4"/>
        <w:keepNext w:val="0"/>
        <w:keepLines w:val="0"/>
        <w:numPr>
          <w:ilvl w:val="0"/>
          <w:numId w:val="5"/>
        </w:numPr>
        <w:tabs>
          <w:tab w:val="left" w:pos="836"/>
        </w:tabs>
        <w:autoSpaceDE w:val="0"/>
        <w:autoSpaceDN w:val="0"/>
        <w:spacing w:before="37" w:after="0" w:line="240" w:lineRule="auto"/>
        <w:jc w:val="left"/>
        <w:rPr>
          <w:rFonts w:ascii="思源黑体 CN Bold" w:hAnsi="思源黑体 CN Bold" w:eastAsia="思源黑体 CN Bold" w:cs="黑体"/>
          <w:sz w:val="22"/>
        </w:rPr>
      </w:pPr>
      <w:r>
        <w:rPr>
          <w:rFonts w:hint="eastAsia" w:ascii="思源黑体 CN Bold" w:hAnsi="思源黑体 CN Bold" w:eastAsia="思源黑体 CN Bold" w:cs="黑体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658495</wp:posOffset>
                </wp:positionH>
                <wp:positionV relativeFrom="paragraph">
                  <wp:posOffset>-1642745</wp:posOffset>
                </wp:positionV>
                <wp:extent cx="6118860" cy="1597660"/>
                <wp:effectExtent l="635" t="0" r="14605" b="2540"/>
                <wp:wrapNone/>
                <wp:docPr id="13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8860" cy="1597660"/>
                          <a:chOff x="1037" y="-2587"/>
                          <a:chExt cx="9636" cy="2516"/>
                        </a:xfrm>
                      </wpg:grpSpPr>
                      <wps:wsp>
                        <wps:cNvPr id="11" name="自选图形 11"/>
                        <wps:cNvSpPr/>
                        <wps:spPr>
                          <a:xfrm>
                            <a:off x="1036" y="-2587"/>
                            <a:ext cx="9617" cy="2516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/>
                            <a:rect l="0" t="0" r="0" b="0"/>
                            <a:pathLst>
                              <a:path w="9617" h="2516">
                                <a:moveTo>
                                  <a:pt x="3198" y="1892"/>
                                </a:moveTo>
                                <a:lnTo>
                                  <a:pt x="3121" y="1892"/>
                                </a:lnTo>
                                <a:lnTo>
                                  <a:pt x="96" y="1892"/>
                                </a:lnTo>
                                <a:lnTo>
                                  <a:pt x="0" y="1892"/>
                                </a:lnTo>
                                <a:lnTo>
                                  <a:pt x="0" y="2516"/>
                                </a:lnTo>
                                <a:lnTo>
                                  <a:pt x="96" y="2516"/>
                                </a:lnTo>
                                <a:lnTo>
                                  <a:pt x="3121" y="2516"/>
                                </a:lnTo>
                                <a:lnTo>
                                  <a:pt x="3198" y="2516"/>
                                </a:lnTo>
                                <a:lnTo>
                                  <a:pt x="3198" y="1892"/>
                                </a:lnTo>
                                <a:moveTo>
                                  <a:pt x="96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0"/>
                                </a:lnTo>
                                <a:lnTo>
                                  <a:pt x="96" y="1870"/>
                                </a:lnTo>
                                <a:lnTo>
                                  <a:pt x="9537" y="1870"/>
                                </a:lnTo>
                                <a:lnTo>
                                  <a:pt x="9616" y="1870"/>
                                </a:lnTo>
                                <a:lnTo>
                                  <a:pt x="9616" y="0"/>
                                </a:lnTo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2" name="任意多边形 12"/>
                        <wps:cNvSpPr/>
                        <wps:spPr>
                          <a:xfrm>
                            <a:off x="4294" y="-696"/>
                            <a:ext cx="6378" cy="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8" h="624">
                                <a:moveTo>
                                  <a:pt x="6377" y="0"/>
                                </a:moveTo>
                                <a:lnTo>
                                  <a:pt x="6279" y="0"/>
                                </a:ln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4"/>
                                </a:lnTo>
                                <a:lnTo>
                                  <a:pt x="79" y="624"/>
                                </a:lnTo>
                                <a:lnTo>
                                  <a:pt x="6279" y="624"/>
                                </a:lnTo>
                                <a:lnTo>
                                  <a:pt x="6377" y="624"/>
                                </a:lnTo>
                                <a:lnTo>
                                  <a:pt x="6377" y="0"/>
                                </a:lnTo>
                              </a:path>
                            </a:pathLst>
                          </a:custGeom>
                          <a:solidFill>
                            <a:srgbClr val="A7BEDE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" o:spid="_x0000_s1026" o:spt="203" style="position:absolute;left:0pt;margin-left:51.85pt;margin-top:-129.35pt;height:125.8pt;width:481.8pt;mso-position-horizontal-relative:page;z-index:-251655168;mso-width-relative:page;mso-height-relative:page;" coordorigin="1037,-2587" coordsize="9636,2516" o:gfxdata="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">
                <o:lock v:ext="edit" aspectratio="f"/>
                <v:shape id="自选图形 11" o:spid="_x0000_s1026" o:spt="100" style="position:absolute;left:1036;top:-2587;height:2516;width:9617;" fillcolor="#4F81BC" filled="t" stroked="f" coordsize="9617,2516" o:gfxdata="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KiutFugAAANsA&#10;AAAPAAAAAAAAAAEAIAAAACIAAABkcnMvZG93bnJldi54bWxQSwECFAAUAAAACACHTuJAMy8FnjsA&#10;AAA5AAAAEAAAAAAAAAABACAAAAAJAQAAZHJzL3NoYXBleG1sLnhtbFBLBQYAAAAABgAGAFsBAACz&#10;AwAAAAA=&#10;" path="m3198,1892l3121,1892,96,1892,0,1892,0,2516,96,2516,3121,2516,3198,2516,3198,1892m9616,0l0,0,0,1870,96,1870,9537,1870,9616,1870,9616,0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294;top:-696;height:624;width:6378;" fillcolor="#A7BEDE" filled="t" stroked="f" coordsize="6378,624" o:gfxdata="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2hnUbsAAADb&#10;AAAADwAAAAAAAAABACAAAAAiAAAAZHJzL2Rvd25yZXYueG1sUEsBAhQAFAAAAAgAh07iQDMvBZ47&#10;AAAAOQAAABAAAAAAAAAAAQAgAAAACgEAAGRycy9zaGFwZXhtbC54bWxQSwUGAAAAAAYABgBbAQAA&#10;tAMAAAAA&#10;" path="m6377,0l6279,0,79,0,0,0,0,624,79,624,6279,624,6377,624,6377,0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思源黑体 CN Bold" w:hAnsi="思源黑体 CN Bold" w:eastAsia="思源黑体 CN Bold" w:cs="黑体"/>
          <w:color w:val="0000CC"/>
        </w:rPr>
        <w:t>会计科目是否可以删除？</w:t>
      </w:r>
    </w:p>
    <w:p>
      <w:pPr>
        <w:pStyle w:val="12"/>
        <w:widowControl w:val="0"/>
        <w:autoSpaceDE w:val="0"/>
        <w:autoSpaceDN w:val="0"/>
        <w:spacing w:before="182" w:beforeAutospacing="0" w:after="0" w:afterAutospacing="0" w:line="336" w:lineRule="auto"/>
        <w:ind w:left="332" w:right="835"/>
        <w:rPr>
          <w:rFonts w:ascii="思源黑体 CN Bold" w:hAnsi="思源黑体 CN Bold" w:eastAsia="思源黑体 CN Bold" w:cs="黑体"/>
        </w:rPr>
      </w:pPr>
      <w:r>
        <w:rPr>
          <w:rFonts w:hint="eastAsia" w:ascii="思源黑体 CN Bold" w:hAnsi="思源黑体 CN Bold" w:eastAsia="思源黑体 CN Bold" w:cs="黑体"/>
          <w:lang w:bidi="ar"/>
        </w:rPr>
        <w:t>a、未使用，或者没有期初余额及凭证的科目，期间结转后可以直接进行删除、修改（包括修改辅助项）</w:t>
      </w:r>
    </w:p>
    <w:p>
      <w:pPr>
        <w:pStyle w:val="12"/>
        <w:widowControl w:val="0"/>
        <w:autoSpaceDE w:val="0"/>
        <w:autoSpaceDN w:val="0"/>
        <w:spacing w:before="1" w:beforeAutospacing="0" w:after="0" w:afterAutospacing="0" w:line="336" w:lineRule="auto"/>
        <w:ind w:left="332" w:right="833"/>
        <w:rPr>
          <w:rFonts w:ascii="思源黑体 CN Bold" w:hAnsi="思源黑体 CN Bold" w:eastAsia="思源黑体 CN Bold" w:cs="黑体"/>
        </w:rPr>
      </w:pPr>
      <w:r>
        <w:rPr>
          <w:rFonts w:hint="eastAsia" w:ascii="思源黑体 CN Bold" w:hAnsi="思源黑体 CN Bold" w:eastAsia="思源黑体 CN Bold" w:cs="黑体"/>
          <w:lang w:bidi="ar"/>
        </w:rPr>
        <w:t>b、有期初余额，并挂了辅助核算的科目，可以取消辅助项，科目期初中也自动删除了辅助明细；没有启用辅助核算的，可以修改为挂上辅助核算，指定对应的辅助项目即可。</w:t>
      </w:r>
    </w:p>
    <w:p>
      <w:pPr>
        <w:pStyle w:val="4"/>
        <w:keepNext w:val="0"/>
        <w:keepLines w:val="0"/>
        <w:numPr>
          <w:ilvl w:val="0"/>
          <w:numId w:val="5"/>
        </w:numPr>
        <w:tabs>
          <w:tab w:val="left" w:pos="844"/>
        </w:tabs>
        <w:autoSpaceDE w:val="0"/>
        <w:autoSpaceDN w:val="0"/>
        <w:spacing w:before="1" w:after="0" w:line="240" w:lineRule="auto"/>
        <w:ind w:left="843" w:hanging="632"/>
        <w:jc w:val="left"/>
        <w:rPr>
          <w:rFonts w:ascii="思源黑体 CN Bold" w:hAnsi="思源黑体 CN Bold" w:eastAsia="思源黑体 CN Bold" w:cs="黑体"/>
          <w:color w:val="0000CC"/>
          <w:sz w:val="22"/>
        </w:rPr>
      </w:pPr>
      <w:r>
        <w:rPr>
          <w:rFonts w:hint="eastAsia" w:ascii="思源黑体 CN Bold" w:hAnsi="思源黑体 CN Bold" w:eastAsia="思源黑体 CN Bold" w:cs="黑体"/>
          <w:color w:val="0000CC"/>
        </w:rPr>
        <w:t>期间结转后那些数据可以跨年联查吗？</w:t>
      </w:r>
    </w:p>
    <w:p>
      <w:pPr>
        <w:pStyle w:val="12"/>
        <w:widowControl w:val="0"/>
        <w:autoSpaceDE w:val="0"/>
        <w:autoSpaceDN w:val="0"/>
        <w:spacing w:before="181" w:beforeAutospacing="0" w:after="0" w:afterAutospacing="0" w:line="336" w:lineRule="auto"/>
        <w:ind w:left="332" w:right="829"/>
        <w:jc w:val="both"/>
        <w:rPr>
          <w:rFonts w:ascii="思源黑体 CN Bold" w:hAnsi="思源黑体 CN Bold" w:eastAsia="思源黑体 CN Bold" w:cs="黑体"/>
        </w:rPr>
      </w:pPr>
      <w:r>
        <w:rPr>
          <w:rFonts w:hint="eastAsia" w:ascii="思源黑体 CN Bold" w:hAnsi="思源黑体 CN Bold" w:eastAsia="思源黑体 CN Bold" w:cs="黑体"/>
          <w:spacing w:val="-9"/>
          <w:lang w:bidi="ar"/>
        </w:rPr>
        <w:t xml:space="preserve">不可以，期间结转后没有跨年查询的说法，因为期间结账是数据库后台是 </w:t>
      </w:r>
      <w:r>
        <w:rPr>
          <w:rFonts w:hint="eastAsia" w:ascii="思源黑体 CN Bold" w:hAnsi="思源黑体 CN Bold" w:eastAsia="思源黑体 CN Bold" w:cs="黑体"/>
          <w:lang w:bidi="ar"/>
        </w:rPr>
        <w:t>2</w:t>
      </w:r>
      <w:r>
        <w:rPr>
          <w:rFonts w:hint="eastAsia" w:ascii="思源黑体 CN Bold" w:hAnsi="思源黑体 CN Bold" w:eastAsia="思源黑体 CN Bold" w:cs="黑体"/>
          <w:spacing w:val="-9"/>
          <w:lang w:bidi="ar"/>
        </w:rPr>
        <w:t xml:space="preserve"> 个数据库了，所</w:t>
      </w:r>
      <w:r>
        <w:rPr>
          <w:rFonts w:hint="eastAsia" w:ascii="思源黑体 CN Bold" w:hAnsi="思源黑体 CN Bold" w:eastAsia="思源黑体 CN Bold" w:cs="黑体"/>
          <w:spacing w:val="-6"/>
          <w:lang w:bidi="ar"/>
        </w:rPr>
        <w:t>以只要上年度有单据数据结转至新年度，在新年度的相应账表中便可查看得到，未结转过来</w:t>
      </w:r>
      <w:r>
        <w:rPr>
          <w:rFonts w:hint="eastAsia" w:ascii="思源黑体 CN Bold" w:hAnsi="思源黑体 CN Bold" w:eastAsia="思源黑体 CN Bold" w:cs="黑体"/>
          <w:lang w:bidi="ar"/>
        </w:rPr>
        <w:t>的数据需到期间结转前的账套中查询，具体可以参照第（5）点单据结转情况。</w:t>
      </w:r>
    </w:p>
    <w:p>
      <w:pPr>
        <w:pStyle w:val="4"/>
        <w:keepNext w:val="0"/>
        <w:keepLines w:val="0"/>
        <w:numPr>
          <w:ilvl w:val="0"/>
          <w:numId w:val="5"/>
        </w:numPr>
        <w:tabs>
          <w:tab w:val="left" w:pos="844"/>
        </w:tabs>
        <w:autoSpaceDE w:val="0"/>
        <w:autoSpaceDN w:val="0"/>
        <w:spacing w:before="1" w:after="0" w:line="240" w:lineRule="auto"/>
        <w:ind w:left="843" w:hanging="632"/>
        <w:jc w:val="left"/>
        <w:rPr>
          <w:rFonts w:ascii="思源黑体 CN Bold" w:hAnsi="思源黑体 CN Bold" w:eastAsia="思源黑体 CN Bold" w:cs="黑体"/>
          <w:color w:val="0000CC"/>
          <w:sz w:val="22"/>
        </w:rPr>
      </w:pPr>
      <w:r>
        <w:rPr>
          <w:rFonts w:hint="eastAsia" w:ascii="思源黑体 CN Bold" w:hAnsi="思源黑体 CN Bold" w:eastAsia="思源黑体 CN Bold" w:cs="黑体"/>
          <w:color w:val="0000CC"/>
        </w:rPr>
        <w:t>期间结转后的期初数据是否可改？那些可改？那些不可改？</w:t>
      </w:r>
    </w:p>
    <w:p>
      <w:pPr>
        <w:pStyle w:val="12"/>
        <w:widowControl w:val="0"/>
        <w:autoSpaceDE w:val="0"/>
        <w:autoSpaceDN w:val="0"/>
        <w:spacing w:before="2" w:beforeAutospacing="0" w:after="0" w:afterAutospacing="0"/>
        <w:rPr>
          <w:rFonts w:ascii="思源黑体 CN Bold" w:hAnsi="思源黑体 CN Bold" w:eastAsia="思源黑体 CN Bold" w:cs="黑体"/>
          <w:b/>
          <w:i/>
          <w:sz w:val="6"/>
        </w:rPr>
      </w:pPr>
    </w:p>
    <w:tbl>
      <w:tblPr>
        <w:tblStyle w:val="14"/>
        <w:tblW w:w="0" w:type="auto"/>
        <w:tblInd w:w="121" w:type="dxa"/>
        <w:tblBorders>
          <w:top w:val="single" w:color="FFFFFF" w:sz="24" w:space="0"/>
          <w:left w:val="single" w:color="FFFFFF" w:sz="24" w:space="0"/>
          <w:bottom w:val="single" w:color="FFFFFF" w:sz="24" w:space="0"/>
          <w:right w:val="single" w:color="FFFFFF" w:sz="24" w:space="0"/>
          <w:insideH w:val="single" w:color="FFFFFF" w:sz="24" w:space="0"/>
          <w:insideV w:val="single" w:color="FFFFFF" w:sz="2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0"/>
        <w:gridCol w:w="1082"/>
        <w:gridCol w:w="1080"/>
        <w:gridCol w:w="5271"/>
      </w:tblGrid>
      <w:tr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810" w:type="dxa"/>
            <w:tcBorders>
              <w:top w:val="nil"/>
              <w:left w:val="nil"/>
              <w:bottom w:val="single" w:color="FFFFFF" w:sz="24" w:space="0"/>
              <w:right w:val="single" w:color="FFFFFF" w:sz="24" w:space="0"/>
            </w:tcBorders>
            <w:shd w:val="clear" w:color="auto" w:fill="4F81BC"/>
          </w:tcPr>
          <w:p>
            <w:pPr>
              <w:pStyle w:val="35"/>
              <w:widowControl/>
              <w:spacing w:before="89"/>
              <w:ind w:left="98"/>
              <w:rPr>
                <w:rFonts w:hint="default" w:ascii="思源黑体 CN Bold" w:hAnsi="思源黑体 CN Bold" w:eastAsia="思源黑体 CN Bold" w:cs="黑体"/>
                <w:b/>
                <w:i/>
                <w:sz w:val="24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b/>
                <w:i/>
                <w:color w:val="FFFFFF"/>
                <w:sz w:val="24"/>
                <w:lang w:eastAsia="en-US"/>
              </w:rPr>
              <w:t>期初单据类型</w:t>
            </w:r>
          </w:p>
        </w:tc>
        <w:tc>
          <w:tcPr>
            <w:tcW w:w="1082" w:type="dxa"/>
            <w:tcBorders>
              <w:top w:val="nil"/>
              <w:left w:val="single" w:color="FFFFFF" w:sz="24" w:space="0"/>
              <w:bottom w:val="single" w:color="FFFFFF" w:sz="24" w:space="0"/>
              <w:right w:val="single" w:color="FFFFFF" w:sz="8" w:space="0"/>
            </w:tcBorders>
            <w:shd w:val="clear" w:color="auto" w:fill="4F81BC"/>
          </w:tcPr>
          <w:p>
            <w:pPr>
              <w:pStyle w:val="35"/>
              <w:widowControl/>
              <w:spacing w:before="89"/>
              <w:ind w:left="272"/>
              <w:rPr>
                <w:rFonts w:hint="default" w:ascii="思源黑体 CN Bold" w:hAnsi="思源黑体 CN Bold" w:eastAsia="思源黑体 CN Bold" w:cs="黑体"/>
                <w:b/>
                <w:i/>
                <w:sz w:val="24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b/>
                <w:i/>
                <w:color w:val="FFFFFF"/>
                <w:sz w:val="24"/>
                <w:lang w:eastAsia="en-US"/>
              </w:rPr>
              <w:t>可改</w:t>
            </w:r>
          </w:p>
        </w:tc>
        <w:tc>
          <w:tcPr>
            <w:tcW w:w="1080" w:type="dxa"/>
            <w:tcBorders>
              <w:top w:val="nil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4F81BC"/>
          </w:tcPr>
          <w:p>
            <w:pPr>
              <w:pStyle w:val="35"/>
              <w:widowControl/>
              <w:spacing w:before="89"/>
              <w:ind w:left="171"/>
              <w:rPr>
                <w:rFonts w:hint="default" w:ascii="思源黑体 CN Bold" w:hAnsi="思源黑体 CN Bold" w:eastAsia="思源黑体 CN Bold" w:cs="黑体"/>
                <w:b/>
                <w:i/>
                <w:sz w:val="24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b/>
                <w:i/>
                <w:color w:val="FFFFFF"/>
                <w:sz w:val="24"/>
                <w:lang w:eastAsia="en-US"/>
              </w:rPr>
              <w:t>不可改</w:t>
            </w:r>
          </w:p>
        </w:tc>
        <w:tc>
          <w:tcPr>
            <w:tcW w:w="5271" w:type="dxa"/>
            <w:tcBorders>
              <w:top w:val="nil"/>
              <w:left w:val="single" w:color="FFFFFF" w:sz="8" w:space="0"/>
              <w:bottom w:val="single" w:color="FFFFFF" w:sz="24" w:space="0"/>
              <w:right w:val="nil"/>
            </w:tcBorders>
            <w:shd w:val="clear" w:color="auto" w:fill="4F81BC"/>
          </w:tcPr>
          <w:p>
            <w:pPr>
              <w:pStyle w:val="35"/>
              <w:widowControl/>
              <w:spacing w:before="89"/>
              <w:ind w:left="2371" w:right="2370"/>
              <w:jc w:val="center"/>
              <w:rPr>
                <w:rFonts w:hint="default" w:ascii="思源黑体 CN Bold" w:hAnsi="思源黑体 CN Bold" w:eastAsia="思源黑体 CN Bold" w:cs="黑体"/>
                <w:b/>
                <w:i/>
                <w:sz w:val="24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b/>
                <w:i/>
                <w:color w:val="FFFFFF"/>
                <w:sz w:val="24"/>
                <w:lang w:eastAsia="en-US"/>
              </w:rPr>
              <w:t>备注</w:t>
            </w:r>
          </w:p>
        </w:tc>
      </w:tr>
      <w:tr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3" w:hRule="atLeast"/>
        </w:trPr>
        <w:tc>
          <w:tcPr>
            <w:tcW w:w="1810" w:type="dxa"/>
            <w:tcBorders>
              <w:top w:val="single" w:color="FFFFFF" w:sz="24" w:space="0"/>
              <w:left w:val="nil"/>
              <w:bottom w:val="single" w:color="FFFFFF" w:sz="12" w:space="0"/>
              <w:right w:val="single" w:color="FFFFFF" w:sz="24" w:space="0"/>
            </w:tcBorders>
            <w:shd w:val="clear" w:color="auto" w:fill="4F81BC"/>
          </w:tcPr>
          <w:p>
            <w:pPr>
              <w:pStyle w:val="35"/>
              <w:widowControl/>
              <w:spacing w:before="89"/>
              <w:ind w:left="98"/>
              <w:rPr>
                <w:rFonts w:hint="default" w:ascii="思源黑体 CN Bold" w:hAnsi="思源黑体 CN Bold" w:eastAsia="思源黑体 CN Bold" w:cs="黑体"/>
                <w:b/>
                <w:i/>
                <w:sz w:val="24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b/>
                <w:i/>
                <w:color w:val="FFFFFF"/>
                <w:sz w:val="24"/>
                <w:lang w:eastAsia="en-US"/>
              </w:rPr>
              <w:t>科目期初</w:t>
            </w:r>
          </w:p>
        </w:tc>
        <w:tc>
          <w:tcPr>
            <w:tcW w:w="1082" w:type="dxa"/>
            <w:tcBorders>
              <w:top w:val="single" w:color="FFFFFF" w:sz="24" w:space="0"/>
              <w:left w:val="single" w:color="FFFFFF" w:sz="24" w:space="0"/>
              <w:bottom w:val="single" w:color="FFFFFF" w:sz="12" w:space="0"/>
              <w:right w:val="single" w:color="FFFFFF" w:sz="8" w:space="0"/>
            </w:tcBorders>
            <w:shd w:val="clear" w:color="auto" w:fill="A7BEDE"/>
          </w:tcPr>
          <w:p>
            <w:pPr>
              <w:pStyle w:val="35"/>
              <w:widowControl/>
              <w:spacing w:before="89"/>
              <w:ind w:left="320"/>
              <w:rPr>
                <w:rFonts w:hint="default" w:ascii="思源黑体 CN Bold" w:hAnsi="思源黑体 CN Bold" w:eastAsia="思源黑体 CN Bold" w:cs="黑体"/>
                <w:sz w:val="24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sz w:val="24"/>
                <w:lang w:eastAsia="en-US"/>
              </w:rPr>
              <w:t>√</w:t>
            </w:r>
          </w:p>
        </w:tc>
        <w:tc>
          <w:tcPr>
            <w:tcW w:w="1080" w:type="dxa"/>
            <w:tcBorders>
              <w:top w:val="single" w:color="FFFFFF" w:sz="24" w:space="0"/>
              <w:left w:val="single" w:color="FFFFFF" w:sz="8" w:space="0"/>
              <w:bottom w:val="single" w:color="FFFFFF" w:sz="12" w:space="0"/>
              <w:right w:val="single" w:color="FFFFFF" w:sz="8" w:space="0"/>
            </w:tcBorders>
            <w:shd w:val="clear" w:color="auto" w:fill="A7BEDE"/>
          </w:tcPr>
          <w:p>
            <w:pPr>
              <w:pStyle w:val="35"/>
              <w:widowControl/>
              <w:rPr>
                <w:rFonts w:hint="default" w:ascii="思源黑体 CN Bold" w:hAnsi="思源黑体 CN Bold" w:eastAsia="思源黑体 CN Bold" w:cs="黑体"/>
                <w:lang w:eastAsia="en-US"/>
              </w:rPr>
            </w:pPr>
          </w:p>
        </w:tc>
        <w:tc>
          <w:tcPr>
            <w:tcW w:w="5271" w:type="dxa"/>
            <w:tcBorders>
              <w:top w:val="single" w:color="FFFFFF" w:sz="24" w:space="0"/>
              <w:left w:val="single" w:color="FFFFFF" w:sz="8" w:space="0"/>
              <w:bottom w:val="single" w:color="FFFFFF" w:sz="12" w:space="0"/>
              <w:right w:val="nil"/>
            </w:tcBorders>
            <w:shd w:val="clear" w:color="auto" w:fill="A7BEDE"/>
          </w:tcPr>
          <w:p>
            <w:pPr>
              <w:pStyle w:val="35"/>
              <w:widowControl/>
              <w:spacing w:before="89"/>
              <w:ind w:left="99"/>
              <w:rPr>
                <w:rFonts w:hint="default" w:ascii="思源黑体 CN Bold" w:hAnsi="思源黑体 CN Bold" w:eastAsia="思源黑体 CN Bold" w:cs="黑体"/>
                <w:sz w:val="24"/>
              </w:rPr>
            </w:pPr>
            <w:r>
              <w:rPr>
                <w:rFonts w:ascii="思源黑体 CN Bold" w:hAnsi="思源黑体 CN Bold" w:eastAsia="思源黑体 CN Bold" w:cs="黑体"/>
                <w:sz w:val="24"/>
              </w:rPr>
              <w:t>科目期初可增加、清空或修改，辅助核算期初也</w:t>
            </w:r>
          </w:p>
          <w:p>
            <w:pPr>
              <w:pStyle w:val="35"/>
              <w:widowControl/>
              <w:spacing w:before="181"/>
              <w:ind w:left="99"/>
              <w:rPr>
                <w:rFonts w:hint="default" w:ascii="思源黑体 CN Bold" w:hAnsi="思源黑体 CN Bold" w:eastAsia="思源黑体 CN Bold" w:cs="黑体"/>
                <w:sz w:val="24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sz w:val="24"/>
                <w:lang w:eastAsia="en-US"/>
              </w:rPr>
              <w:t>可修改、删除及增行</w:t>
            </w:r>
          </w:p>
        </w:tc>
      </w:tr>
      <w:tr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3" w:hRule="atLeast"/>
        </w:trPr>
        <w:tc>
          <w:tcPr>
            <w:tcW w:w="1810" w:type="dxa"/>
            <w:tcBorders>
              <w:top w:val="single" w:color="FFFFFF" w:sz="12" w:space="0"/>
              <w:left w:val="nil"/>
              <w:bottom w:val="single" w:color="FFFFFF" w:sz="8" w:space="0"/>
              <w:right w:val="single" w:color="FFFFFF" w:sz="24" w:space="0"/>
            </w:tcBorders>
            <w:shd w:val="clear" w:color="auto" w:fill="4F81BC"/>
          </w:tcPr>
          <w:p>
            <w:pPr>
              <w:pStyle w:val="35"/>
              <w:widowControl/>
              <w:spacing w:before="84"/>
              <w:ind w:left="98"/>
              <w:rPr>
                <w:rFonts w:hint="default" w:ascii="思源黑体 CN Bold" w:hAnsi="思源黑体 CN Bold" w:eastAsia="思源黑体 CN Bold" w:cs="黑体"/>
                <w:b/>
                <w:i/>
                <w:sz w:val="24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b/>
                <w:i/>
                <w:color w:val="FFFFFF"/>
                <w:sz w:val="24"/>
                <w:lang w:eastAsia="en-US"/>
              </w:rPr>
              <w:t>现金流量期初</w:t>
            </w:r>
          </w:p>
        </w:tc>
        <w:tc>
          <w:tcPr>
            <w:tcW w:w="1082" w:type="dxa"/>
            <w:tcBorders>
              <w:top w:val="single" w:color="FFFFFF" w:sz="12" w:space="0"/>
              <w:left w:val="single" w:color="FFFFFF" w:sz="24" w:space="0"/>
              <w:bottom w:val="single" w:color="FFFFFF" w:sz="8" w:space="0"/>
              <w:right w:val="single" w:color="FFFFFF" w:sz="8" w:space="0"/>
            </w:tcBorders>
            <w:shd w:val="clear" w:color="auto" w:fill="D2DFED"/>
          </w:tcPr>
          <w:p>
            <w:pPr>
              <w:pStyle w:val="35"/>
              <w:widowControl/>
              <w:rPr>
                <w:rFonts w:hint="default" w:ascii="思源黑体 CN Bold" w:hAnsi="思源黑体 CN Bold" w:eastAsia="思源黑体 CN Bold" w:cs="黑体"/>
                <w:lang w:eastAsia="en-US"/>
              </w:rPr>
            </w:pPr>
          </w:p>
        </w:tc>
        <w:tc>
          <w:tcPr>
            <w:tcW w:w="1080" w:type="dxa"/>
            <w:tcBorders>
              <w:top w:val="single" w:color="FFFFFF" w:sz="12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2DFED"/>
          </w:tcPr>
          <w:p>
            <w:pPr>
              <w:pStyle w:val="35"/>
              <w:widowControl/>
              <w:spacing w:before="84"/>
              <w:ind w:left="339"/>
              <w:rPr>
                <w:rFonts w:hint="default" w:ascii="思源黑体 CN Bold" w:hAnsi="思源黑体 CN Bold" w:eastAsia="思源黑体 CN Bold" w:cs="黑体"/>
                <w:sz w:val="24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sz w:val="24"/>
                <w:lang w:eastAsia="en-US"/>
              </w:rPr>
              <w:t>√</w:t>
            </w:r>
          </w:p>
        </w:tc>
        <w:tc>
          <w:tcPr>
            <w:tcW w:w="5271" w:type="dxa"/>
            <w:tcBorders>
              <w:top w:val="single" w:color="FFFFFF" w:sz="12" w:space="0"/>
              <w:left w:val="single" w:color="FFFFFF" w:sz="8" w:space="0"/>
              <w:bottom w:val="single" w:color="FFFFFF" w:sz="8" w:space="0"/>
              <w:right w:val="nil"/>
            </w:tcBorders>
            <w:shd w:val="clear" w:color="auto" w:fill="D2DFED"/>
          </w:tcPr>
          <w:p>
            <w:pPr>
              <w:pStyle w:val="35"/>
              <w:widowControl/>
              <w:spacing w:before="84"/>
              <w:ind w:left="99"/>
              <w:rPr>
                <w:rFonts w:hint="default" w:ascii="思源黑体 CN Bold" w:hAnsi="思源黑体 CN Bold" w:eastAsia="思源黑体 CN Bold" w:cs="黑体"/>
                <w:sz w:val="24"/>
              </w:rPr>
            </w:pPr>
            <w:r>
              <w:rPr>
                <w:rFonts w:ascii="思源黑体 CN Bold" w:hAnsi="思源黑体 CN Bold" w:eastAsia="思源黑体 CN Bold" w:cs="黑体"/>
                <w:sz w:val="24"/>
              </w:rPr>
              <w:t>现金流量期初会提示总账启用期间为第一会计期</w:t>
            </w:r>
          </w:p>
          <w:p>
            <w:pPr>
              <w:pStyle w:val="35"/>
              <w:widowControl/>
              <w:spacing w:before="182"/>
              <w:ind w:left="99"/>
              <w:rPr>
                <w:rFonts w:hint="default" w:ascii="思源黑体 CN Bold" w:hAnsi="思源黑体 CN Bold" w:eastAsia="思源黑体 CN Bold" w:cs="黑体"/>
                <w:sz w:val="24"/>
              </w:rPr>
            </w:pPr>
            <w:r>
              <w:rPr>
                <w:rFonts w:ascii="思源黑体 CN Bold" w:hAnsi="思源黑体 CN Bold" w:eastAsia="思源黑体 CN Bold" w:cs="黑体"/>
                <w:sz w:val="24"/>
              </w:rPr>
              <w:t>间，不允许维护现金流量期初</w:t>
            </w:r>
          </w:p>
        </w:tc>
      </w:tr>
      <w:tr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7" w:hRule="atLeast"/>
        </w:trPr>
        <w:tc>
          <w:tcPr>
            <w:tcW w:w="1810" w:type="dxa"/>
            <w:tcBorders>
              <w:top w:val="single" w:color="FFFFFF" w:sz="8" w:space="0"/>
              <w:left w:val="nil"/>
              <w:bottom w:val="single" w:color="FFFFFF" w:sz="8" w:space="0"/>
              <w:right w:val="single" w:color="FFFFFF" w:sz="24" w:space="0"/>
            </w:tcBorders>
            <w:shd w:val="clear" w:color="auto" w:fill="4F81BC"/>
          </w:tcPr>
          <w:p>
            <w:pPr>
              <w:pStyle w:val="35"/>
              <w:widowControl/>
              <w:spacing w:before="89"/>
              <w:ind w:left="98"/>
              <w:rPr>
                <w:rFonts w:hint="default" w:ascii="思源黑体 CN Bold" w:hAnsi="思源黑体 CN Bold" w:eastAsia="思源黑体 CN Bold" w:cs="黑体"/>
                <w:b/>
                <w:i/>
                <w:sz w:val="24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b/>
                <w:i/>
                <w:color w:val="FFFFFF"/>
                <w:sz w:val="24"/>
                <w:lang w:eastAsia="en-US"/>
              </w:rPr>
              <w:t>库存期初</w:t>
            </w:r>
          </w:p>
        </w:tc>
        <w:tc>
          <w:tcPr>
            <w:tcW w:w="1082" w:type="dxa"/>
            <w:tcBorders>
              <w:top w:val="single" w:color="FFFFFF" w:sz="8" w:space="0"/>
              <w:left w:val="single" w:color="FFFFFF" w:sz="24" w:space="0"/>
              <w:bottom w:val="single" w:color="FFFFFF" w:sz="8" w:space="0"/>
              <w:right w:val="single" w:color="FFFFFF" w:sz="8" w:space="0"/>
            </w:tcBorders>
            <w:shd w:val="clear" w:color="auto" w:fill="A7BEDE"/>
          </w:tcPr>
          <w:p>
            <w:pPr>
              <w:pStyle w:val="35"/>
              <w:widowControl/>
              <w:spacing w:before="89"/>
              <w:ind w:left="320"/>
              <w:rPr>
                <w:rFonts w:hint="default" w:ascii="思源黑体 CN Bold" w:hAnsi="思源黑体 CN Bold" w:eastAsia="思源黑体 CN Bold" w:cs="黑体"/>
                <w:sz w:val="24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sz w:val="24"/>
                <w:lang w:eastAsia="en-US"/>
              </w:rPr>
              <w:t>√</w:t>
            </w:r>
          </w:p>
        </w:tc>
        <w:tc>
          <w:tcPr>
            <w:tcW w:w="108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7BEDE"/>
          </w:tcPr>
          <w:p>
            <w:pPr>
              <w:pStyle w:val="35"/>
              <w:widowControl/>
              <w:rPr>
                <w:rFonts w:hint="default" w:ascii="思源黑体 CN Bold" w:hAnsi="思源黑体 CN Bold" w:eastAsia="思源黑体 CN Bold" w:cs="黑体"/>
                <w:lang w:eastAsia="en-US"/>
              </w:rPr>
            </w:pPr>
          </w:p>
        </w:tc>
        <w:tc>
          <w:tcPr>
            <w:tcW w:w="5271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nil"/>
            </w:tcBorders>
            <w:shd w:val="clear" w:color="auto" w:fill="A7BEDE"/>
          </w:tcPr>
          <w:p>
            <w:pPr>
              <w:pStyle w:val="35"/>
              <w:widowControl/>
              <w:spacing w:before="89"/>
              <w:ind w:left="99"/>
              <w:rPr>
                <w:rFonts w:hint="default" w:ascii="思源黑体 CN Bold" w:hAnsi="思源黑体 CN Bold" w:eastAsia="思源黑体 CN Bold" w:cs="黑体"/>
                <w:sz w:val="24"/>
              </w:rPr>
            </w:pPr>
            <w:r>
              <w:rPr>
                <w:rFonts w:ascii="思源黑体 CN Bold" w:hAnsi="思源黑体 CN Bold" w:eastAsia="思源黑体 CN Bold" w:cs="黑体"/>
                <w:sz w:val="24"/>
              </w:rPr>
              <w:t>移动平均、全月平均可以修改；个别计价、先进</w:t>
            </w:r>
          </w:p>
          <w:p>
            <w:pPr>
              <w:pStyle w:val="35"/>
              <w:widowControl/>
              <w:spacing w:before="181"/>
              <w:ind w:left="99"/>
              <w:rPr>
                <w:rFonts w:hint="default" w:ascii="思源黑体 CN Bold" w:hAnsi="思源黑体 CN Bold" w:eastAsia="思源黑体 CN Bold" w:cs="黑体"/>
                <w:sz w:val="24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sz w:val="24"/>
                <w:lang w:eastAsia="en-US"/>
              </w:rPr>
              <w:t>先出不让修改</w:t>
            </w:r>
          </w:p>
        </w:tc>
      </w:tr>
      <w:tr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7" w:hRule="atLeast"/>
        </w:trPr>
        <w:tc>
          <w:tcPr>
            <w:tcW w:w="1810" w:type="dxa"/>
            <w:tcBorders>
              <w:top w:val="single" w:color="FFFFFF" w:sz="8" w:space="0"/>
              <w:left w:val="nil"/>
              <w:bottom w:val="nil"/>
              <w:right w:val="single" w:color="FFFFFF" w:sz="24" w:space="0"/>
            </w:tcBorders>
            <w:shd w:val="clear" w:color="auto" w:fill="4F81BC"/>
          </w:tcPr>
          <w:p>
            <w:pPr>
              <w:pStyle w:val="35"/>
              <w:widowControl/>
              <w:spacing w:before="88"/>
              <w:ind w:left="98"/>
              <w:rPr>
                <w:rFonts w:hint="default" w:ascii="思源黑体 CN Bold" w:hAnsi="思源黑体 CN Bold" w:eastAsia="思源黑体 CN Bold" w:cs="黑体"/>
                <w:b/>
                <w:i/>
                <w:sz w:val="24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b/>
                <w:i/>
                <w:color w:val="FFFFFF"/>
                <w:sz w:val="24"/>
                <w:lang w:eastAsia="en-US"/>
              </w:rPr>
              <w:t>往来期初余额</w:t>
            </w:r>
          </w:p>
        </w:tc>
        <w:tc>
          <w:tcPr>
            <w:tcW w:w="1082" w:type="dxa"/>
            <w:tcBorders>
              <w:top w:val="single" w:color="FFFFFF" w:sz="8" w:space="0"/>
              <w:left w:val="single" w:color="FFFFFF" w:sz="24" w:space="0"/>
              <w:bottom w:val="nil"/>
              <w:right w:val="single" w:color="FFFFFF" w:sz="8" w:space="0"/>
            </w:tcBorders>
            <w:shd w:val="clear" w:color="auto" w:fill="D2DFED"/>
          </w:tcPr>
          <w:p>
            <w:pPr>
              <w:pStyle w:val="35"/>
              <w:widowControl/>
              <w:spacing w:before="88"/>
              <w:ind w:left="320"/>
              <w:rPr>
                <w:rFonts w:hint="default" w:ascii="思源黑体 CN Bold" w:hAnsi="思源黑体 CN Bold" w:eastAsia="思源黑体 CN Bold" w:cs="黑体"/>
                <w:sz w:val="24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sz w:val="24"/>
                <w:lang w:eastAsia="en-US"/>
              </w:rPr>
              <w:t>√</w:t>
            </w:r>
          </w:p>
        </w:tc>
        <w:tc>
          <w:tcPr>
            <w:tcW w:w="1080" w:type="dxa"/>
            <w:tcBorders>
              <w:top w:val="single" w:color="FFFFFF" w:sz="8" w:space="0"/>
              <w:left w:val="single" w:color="FFFFFF" w:sz="8" w:space="0"/>
              <w:bottom w:val="nil"/>
              <w:right w:val="single" w:color="FFFFFF" w:sz="8" w:space="0"/>
            </w:tcBorders>
            <w:shd w:val="clear" w:color="auto" w:fill="D2DFED"/>
          </w:tcPr>
          <w:p>
            <w:pPr>
              <w:pStyle w:val="35"/>
              <w:widowControl/>
              <w:spacing w:before="88"/>
              <w:ind w:left="339"/>
              <w:rPr>
                <w:rFonts w:hint="default" w:ascii="思源黑体 CN Bold" w:hAnsi="思源黑体 CN Bold" w:eastAsia="思源黑体 CN Bold" w:cs="黑体"/>
                <w:sz w:val="24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sz w:val="24"/>
                <w:lang w:eastAsia="en-US"/>
              </w:rPr>
              <w:t>√</w:t>
            </w:r>
          </w:p>
        </w:tc>
        <w:tc>
          <w:tcPr>
            <w:tcW w:w="5271" w:type="dxa"/>
            <w:tcBorders>
              <w:top w:val="single" w:color="FFFFFF" w:sz="8" w:space="0"/>
              <w:left w:val="single" w:color="FFFFFF" w:sz="8" w:space="0"/>
              <w:bottom w:val="nil"/>
              <w:right w:val="nil"/>
            </w:tcBorders>
            <w:shd w:val="clear" w:color="auto" w:fill="D2DFED"/>
          </w:tcPr>
          <w:p>
            <w:pPr>
              <w:pStyle w:val="35"/>
              <w:widowControl/>
              <w:spacing w:before="88"/>
              <w:ind w:left="99"/>
              <w:rPr>
                <w:rFonts w:hint="default" w:ascii="思源黑体 CN Bold" w:hAnsi="思源黑体 CN Bold" w:eastAsia="思源黑体 CN Bold" w:cs="黑体"/>
                <w:sz w:val="24"/>
              </w:rPr>
            </w:pPr>
            <w:r>
              <w:rPr>
                <w:rFonts w:ascii="思源黑体 CN Bold" w:hAnsi="思源黑体 CN Bold" w:eastAsia="思源黑体 CN Bold" w:cs="黑体"/>
                <w:sz w:val="24"/>
              </w:rPr>
              <w:t>按明细结转，往来期初余额会提示期间结转过来</w:t>
            </w:r>
          </w:p>
          <w:p>
            <w:pPr>
              <w:pStyle w:val="35"/>
              <w:widowControl/>
              <w:spacing w:before="182"/>
              <w:ind w:left="99"/>
              <w:rPr>
                <w:rFonts w:hint="default" w:ascii="思源黑体 CN Bold" w:hAnsi="思源黑体 CN Bold" w:eastAsia="思源黑体 CN Bold" w:cs="黑体"/>
                <w:sz w:val="24"/>
              </w:rPr>
            </w:pPr>
            <w:r>
              <w:rPr>
                <w:rFonts w:ascii="思源黑体 CN Bold" w:hAnsi="思源黑体 CN Bold" w:eastAsia="思源黑体 CN Bold" w:cs="黑体"/>
                <w:sz w:val="24"/>
              </w:rPr>
              <w:t>的往来期初余额不允许查看，可以在业务往来的</w:t>
            </w:r>
          </w:p>
        </w:tc>
      </w:tr>
    </w:tbl>
    <w:p>
      <w:pPr>
        <w:rPr>
          <w:rFonts w:ascii="思源黑体 CN Bold" w:hAnsi="思源黑体 CN Bold" w:eastAsia="思源黑体 CN Bold" w:cs="黑体"/>
          <w:sz w:val="24"/>
          <w:lang w:bidi="ar"/>
        </w:rPr>
        <w:sectPr>
          <w:footerReference r:id="rId7" w:type="default"/>
          <w:pgSz w:w="11910" w:h="16840"/>
          <w:pgMar w:top="740" w:right="300" w:bottom="740" w:left="920" w:header="272" w:footer="551" w:gutter="0"/>
          <w:pgNumType w:start="18"/>
          <w:cols w:space="425" w:num="1"/>
          <w:docGrid w:type="lines" w:linePitch="312" w:charSpace="0"/>
        </w:sectPr>
      </w:pPr>
    </w:p>
    <w:tbl>
      <w:tblPr>
        <w:tblStyle w:val="14"/>
        <w:tblW w:w="0" w:type="auto"/>
        <w:tblInd w:w="124" w:type="dxa"/>
        <w:tblBorders>
          <w:top w:val="single" w:color="FFFFFF" w:sz="12" w:space="0"/>
          <w:left w:val="single" w:color="FFFFFF" w:sz="12" w:space="0"/>
          <w:bottom w:val="single" w:color="FFFFFF" w:sz="12" w:space="0"/>
          <w:right w:val="single" w:color="FFFFFF" w:sz="12" w:space="0"/>
          <w:insideH w:val="single" w:color="FFFFFF" w:sz="12" w:space="0"/>
          <w:insideV w:val="single" w:color="FFFFFF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08"/>
        <w:gridCol w:w="1083"/>
        <w:gridCol w:w="1081"/>
        <w:gridCol w:w="5279"/>
      </w:tblGrid>
      <w:tr>
        <w:tblPrEx>
          <w:tblBorders>
            <w:top w:val="single" w:color="FFFFFF" w:sz="12" w:space="0"/>
            <w:left w:val="single" w:color="FFFFFF" w:sz="12" w:space="0"/>
            <w:bottom w:val="single" w:color="FFFFFF" w:sz="12" w:space="0"/>
            <w:right w:val="single" w:color="FFFFFF" w:sz="12" w:space="0"/>
            <w:insideH w:val="single" w:color="FFFFFF" w:sz="12" w:space="0"/>
            <w:insideV w:val="single" w:color="FFFFFF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6" w:hRule="atLeast"/>
        </w:trPr>
        <w:tc>
          <w:tcPr>
            <w:tcW w:w="1808" w:type="dxa"/>
            <w:tcBorders>
              <w:top w:val="nil"/>
              <w:left w:val="nil"/>
              <w:bottom w:val="single" w:color="FFFFFF" w:sz="12" w:space="0"/>
              <w:right w:val="single" w:color="FFFFFF" w:sz="24" w:space="0"/>
            </w:tcBorders>
            <w:shd w:val="clear" w:color="auto" w:fill="4F81BC"/>
          </w:tcPr>
          <w:p>
            <w:pPr>
              <w:pStyle w:val="35"/>
              <w:widowControl/>
              <w:rPr>
                <w:rFonts w:hint="default" w:ascii="思源黑体 CN Bold" w:hAnsi="思源黑体 CN Bold" w:eastAsia="思源黑体 CN Bold" w:cs="黑体"/>
              </w:rPr>
            </w:pPr>
          </w:p>
        </w:tc>
        <w:tc>
          <w:tcPr>
            <w:tcW w:w="1083" w:type="dxa"/>
            <w:tcBorders>
              <w:top w:val="nil"/>
              <w:left w:val="single" w:color="FFFFFF" w:sz="24" w:space="0"/>
              <w:bottom w:val="single" w:color="FFFFFF" w:sz="12" w:space="0"/>
              <w:right w:val="single" w:color="FFFFFF" w:sz="6" w:space="0"/>
            </w:tcBorders>
            <w:shd w:val="clear" w:color="auto" w:fill="D2DFED"/>
          </w:tcPr>
          <w:p>
            <w:pPr>
              <w:pStyle w:val="35"/>
              <w:widowControl/>
              <w:rPr>
                <w:rFonts w:hint="default" w:ascii="思源黑体 CN Bold" w:hAnsi="思源黑体 CN Bold" w:eastAsia="思源黑体 CN Bold" w:cs="黑体"/>
              </w:rPr>
            </w:pPr>
          </w:p>
        </w:tc>
        <w:tc>
          <w:tcPr>
            <w:tcW w:w="1081" w:type="dxa"/>
            <w:tcBorders>
              <w:top w:val="nil"/>
              <w:left w:val="single" w:color="FFFFFF" w:sz="6" w:space="0"/>
              <w:bottom w:val="single" w:color="FFFFFF" w:sz="12" w:space="0"/>
              <w:right w:val="single" w:color="FFFFFF" w:sz="6" w:space="0"/>
            </w:tcBorders>
            <w:shd w:val="clear" w:color="auto" w:fill="D2DFED"/>
          </w:tcPr>
          <w:p>
            <w:pPr>
              <w:pStyle w:val="35"/>
              <w:widowControl/>
              <w:rPr>
                <w:rFonts w:hint="default" w:ascii="思源黑体 CN Bold" w:hAnsi="思源黑体 CN Bold" w:eastAsia="思源黑体 CN Bold" w:cs="黑体"/>
              </w:rPr>
            </w:pPr>
          </w:p>
        </w:tc>
        <w:tc>
          <w:tcPr>
            <w:tcW w:w="5279" w:type="dxa"/>
            <w:tcBorders>
              <w:top w:val="nil"/>
              <w:left w:val="single" w:color="FFFFFF" w:sz="6" w:space="0"/>
              <w:bottom w:val="single" w:color="FFFFFF" w:sz="12" w:space="0"/>
              <w:right w:val="single" w:color="FFFFFF" w:sz="8" w:space="0"/>
            </w:tcBorders>
            <w:shd w:val="clear" w:color="auto" w:fill="D2DFED"/>
          </w:tcPr>
          <w:p>
            <w:pPr>
              <w:pStyle w:val="35"/>
              <w:widowControl/>
              <w:spacing w:before="89" w:line="336" w:lineRule="auto"/>
              <w:ind w:left="99" w:right="120"/>
              <w:rPr>
                <w:rFonts w:hint="default" w:ascii="思源黑体 CN Bold" w:hAnsi="思源黑体 CN Bold" w:eastAsia="思源黑体 CN Bold" w:cs="黑体"/>
                <w:sz w:val="24"/>
              </w:rPr>
            </w:pPr>
            <w:r>
              <w:rPr>
                <w:rFonts w:ascii="思源黑体 CN Bold" w:hAnsi="思源黑体 CN Bold" w:eastAsia="思源黑体 CN Bold" w:cs="黑体"/>
                <w:sz w:val="24"/>
              </w:rPr>
              <w:t>应收应付总账或应收应付明细账中看到各往来单位的期初</w:t>
            </w:r>
          </w:p>
          <w:p>
            <w:pPr>
              <w:pStyle w:val="35"/>
              <w:widowControl/>
              <w:spacing w:line="336" w:lineRule="auto"/>
              <w:ind w:left="99" w:right="-29"/>
              <w:rPr>
                <w:rFonts w:hint="default" w:ascii="思源黑体 CN Bold" w:hAnsi="思源黑体 CN Bold" w:eastAsia="思源黑体 CN Bold" w:cs="黑体"/>
                <w:sz w:val="24"/>
              </w:rPr>
            </w:pPr>
            <w:r>
              <w:rPr>
                <w:rFonts w:ascii="思源黑体 CN Bold" w:hAnsi="思源黑体 CN Bold" w:eastAsia="思源黑体 CN Bold" w:cs="黑体"/>
                <w:sz w:val="24"/>
              </w:rPr>
              <w:t xml:space="preserve">按余额结转，往来期初可以查看并且可以修改， </w:t>
            </w:r>
            <w:r>
              <w:rPr>
                <w:rFonts w:ascii="思源黑体 CN Bold" w:hAnsi="思源黑体 CN Bold" w:eastAsia="思源黑体 CN Bold" w:cs="黑体"/>
                <w:spacing w:val="-7"/>
                <w:sz w:val="24"/>
              </w:rPr>
              <w:t xml:space="preserve">但往来期初并不一定与上年往来期未一致，例如： </w:t>
            </w:r>
            <w:r>
              <w:rPr>
                <w:rFonts w:ascii="思源黑体 CN Bold" w:hAnsi="思源黑体 CN Bold" w:eastAsia="思源黑体 CN Bold" w:cs="黑体"/>
                <w:spacing w:val="-9"/>
                <w:sz w:val="24"/>
              </w:rPr>
              <w:t xml:space="preserve">收款单业务类型是直接收款，没有与销货单核销， </w:t>
            </w:r>
            <w:r>
              <w:rPr>
                <w:rFonts w:ascii="思源黑体 CN Bold" w:hAnsi="思源黑体 CN Bold" w:eastAsia="思源黑体 CN Bold" w:cs="黑体"/>
                <w:sz w:val="24"/>
              </w:rPr>
              <w:t>则上年应收总账中会扣减此笔数据，而下一年科目期初中不包括此笔数据，因为此张单据会结转</w:t>
            </w:r>
          </w:p>
          <w:p>
            <w:pPr>
              <w:pStyle w:val="35"/>
              <w:widowControl/>
              <w:ind w:left="99"/>
              <w:rPr>
                <w:rFonts w:hint="default" w:ascii="思源黑体 CN Bold" w:hAnsi="思源黑体 CN Bold" w:eastAsia="思源黑体 CN Bold" w:cs="黑体"/>
                <w:sz w:val="24"/>
              </w:rPr>
            </w:pPr>
            <w:r>
              <w:rPr>
                <w:rFonts w:ascii="思源黑体 CN Bold" w:hAnsi="思源黑体 CN Bold" w:eastAsia="思源黑体 CN Bold" w:cs="黑体"/>
                <w:sz w:val="24"/>
              </w:rPr>
              <w:t>成正常业务单据，后续可以直接选单核销。</w:t>
            </w:r>
          </w:p>
        </w:tc>
      </w:tr>
      <w:tr>
        <w:tblPrEx>
          <w:tblBorders>
            <w:top w:val="single" w:color="FFFFFF" w:sz="12" w:space="0"/>
            <w:left w:val="single" w:color="FFFFFF" w:sz="12" w:space="0"/>
            <w:bottom w:val="single" w:color="FFFFFF" w:sz="12" w:space="0"/>
            <w:right w:val="single" w:color="FFFFFF" w:sz="12" w:space="0"/>
            <w:insideH w:val="single" w:color="FFFFFF" w:sz="12" w:space="0"/>
            <w:insideV w:val="single" w:color="FFFFFF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3" w:hRule="atLeast"/>
        </w:trPr>
        <w:tc>
          <w:tcPr>
            <w:tcW w:w="1808" w:type="dxa"/>
            <w:tcBorders>
              <w:top w:val="single" w:color="FFFFFF" w:sz="12" w:space="0"/>
              <w:left w:val="nil"/>
              <w:bottom w:val="single" w:color="FFFFFF" w:sz="8" w:space="0"/>
              <w:right w:val="single" w:color="FFFFFF" w:sz="24" w:space="0"/>
            </w:tcBorders>
            <w:shd w:val="clear" w:color="auto" w:fill="4F81BC"/>
          </w:tcPr>
          <w:p>
            <w:pPr>
              <w:pStyle w:val="35"/>
              <w:widowControl/>
              <w:spacing w:before="84"/>
              <w:ind w:left="95"/>
              <w:rPr>
                <w:rFonts w:hint="default" w:ascii="思源黑体 CN Bold" w:hAnsi="思源黑体 CN Bold" w:eastAsia="思源黑体 CN Bold" w:cs="黑体"/>
                <w:b/>
                <w:i/>
                <w:sz w:val="24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b/>
                <w:i/>
                <w:color w:val="FFFFFF"/>
                <w:sz w:val="24"/>
                <w:lang w:eastAsia="en-US"/>
              </w:rPr>
              <w:t>现金银行期初</w:t>
            </w:r>
          </w:p>
          <w:p>
            <w:pPr>
              <w:pStyle w:val="35"/>
              <w:widowControl/>
              <w:spacing w:before="182"/>
              <w:ind w:left="95"/>
              <w:rPr>
                <w:rFonts w:hint="default" w:ascii="思源黑体 CN Bold" w:hAnsi="思源黑体 CN Bold" w:eastAsia="思源黑体 CN Bold" w:cs="黑体"/>
                <w:b/>
                <w:i/>
                <w:sz w:val="24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b/>
                <w:i/>
                <w:color w:val="FFFFFF"/>
                <w:sz w:val="24"/>
                <w:lang w:eastAsia="en-US"/>
              </w:rPr>
              <w:t>余额</w:t>
            </w:r>
          </w:p>
        </w:tc>
        <w:tc>
          <w:tcPr>
            <w:tcW w:w="1083" w:type="dxa"/>
            <w:tcBorders>
              <w:top w:val="single" w:color="FFFFFF" w:sz="12" w:space="0"/>
              <w:left w:val="single" w:color="FFFFFF" w:sz="24" w:space="0"/>
              <w:bottom w:val="single" w:color="FFFFFF" w:sz="8" w:space="0"/>
              <w:right w:val="single" w:color="FFFFFF" w:sz="6" w:space="0"/>
            </w:tcBorders>
            <w:shd w:val="clear" w:color="auto" w:fill="A7BEDE"/>
          </w:tcPr>
          <w:p>
            <w:pPr>
              <w:pStyle w:val="35"/>
              <w:widowControl/>
              <w:spacing w:before="84"/>
              <w:ind w:left="320"/>
              <w:rPr>
                <w:rFonts w:hint="default" w:ascii="思源黑体 CN Bold" w:hAnsi="思源黑体 CN Bold" w:eastAsia="思源黑体 CN Bold" w:cs="黑体"/>
                <w:sz w:val="24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sz w:val="24"/>
                <w:lang w:eastAsia="en-US"/>
              </w:rPr>
              <w:t>√</w:t>
            </w:r>
          </w:p>
        </w:tc>
        <w:tc>
          <w:tcPr>
            <w:tcW w:w="1081" w:type="dxa"/>
            <w:tcBorders>
              <w:top w:val="single" w:color="FFFFFF" w:sz="12" w:space="0"/>
              <w:left w:val="single" w:color="FFFFFF" w:sz="6" w:space="0"/>
              <w:bottom w:val="single" w:color="FFFFFF" w:sz="8" w:space="0"/>
              <w:right w:val="single" w:color="FFFFFF" w:sz="6" w:space="0"/>
            </w:tcBorders>
            <w:shd w:val="clear" w:color="auto" w:fill="A7BEDE"/>
          </w:tcPr>
          <w:p>
            <w:pPr>
              <w:pStyle w:val="35"/>
              <w:widowControl/>
              <w:rPr>
                <w:rFonts w:hint="default" w:ascii="思源黑体 CN Bold" w:hAnsi="思源黑体 CN Bold" w:eastAsia="思源黑体 CN Bold" w:cs="黑体"/>
                <w:lang w:eastAsia="en-US"/>
              </w:rPr>
            </w:pPr>
          </w:p>
        </w:tc>
        <w:tc>
          <w:tcPr>
            <w:tcW w:w="5279" w:type="dxa"/>
            <w:tcBorders>
              <w:top w:val="single" w:color="FFFFFF" w:sz="12" w:space="0"/>
              <w:left w:val="single" w:color="FFFFFF" w:sz="6" w:space="0"/>
              <w:bottom w:val="single" w:color="FFFFFF" w:sz="8" w:space="0"/>
              <w:right w:val="nil"/>
            </w:tcBorders>
            <w:shd w:val="clear" w:color="auto" w:fill="A7BEDE"/>
          </w:tcPr>
          <w:p>
            <w:pPr>
              <w:pStyle w:val="35"/>
              <w:widowControl/>
              <w:rPr>
                <w:rFonts w:hint="default" w:ascii="思源黑体 CN Bold" w:hAnsi="思源黑体 CN Bold" w:eastAsia="思源黑体 CN Bold" w:cs="黑体"/>
                <w:lang w:eastAsia="en-US"/>
              </w:rPr>
            </w:pPr>
          </w:p>
        </w:tc>
      </w:tr>
      <w:tr>
        <w:tblPrEx>
          <w:tblBorders>
            <w:top w:val="single" w:color="FFFFFF" w:sz="12" w:space="0"/>
            <w:left w:val="single" w:color="FFFFFF" w:sz="12" w:space="0"/>
            <w:bottom w:val="single" w:color="FFFFFF" w:sz="12" w:space="0"/>
            <w:right w:val="single" w:color="FFFFFF" w:sz="12" w:space="0"/>
            <w:insideH w:val="single" w:color="FFFFFF" w:sz="12" w:space="0"/>
            <w:insideV w:val="single" w:color="FFFFFF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808" w:type="dxa"/>
            <w:tcBorders>
              <w:top w:val="single" w:color="FFFFFF" w:sz="8" w:space="0"/>
              <w:left w:val="nil"/>
              <w:bottom w:val="single" w:color="FFFFFF" w:sz="8" w:space="0"/>
              <w:right w:val="single" w:color="FFFFFF" w:sz="24" w:space="0"/>
            </w:tcBorders>
            <w:shd w:val="clear" w:color="auto" w:fill="4F81BC"/>
          </w:tcPr>
          <w:p>
            <w:pPr>
              <w:pStyle w:val="35"/>
              <w:widowControl/>
              <w:spacing w:before="88"/>
              <w:ind w:left="95"/>
              <w:rPr>
                <w:rFonts w:hint="default" w:ascii="思源黑体 CN Bold" w:hAnsi="思源黑体 CN Bold" w:eastAsia="思源黑体 CN Bold" w:cs="黑体"/>
                <w:b/>
                <w:i/>
                <w:sz w:val="24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b/>
                <w:i/>
                <w:color w:val="FFFFFF"/>
                <w:sz w:val="24"/>
                <w:lang w:eastAsia="en-US"/>
              </w:rPr>
              <w:t>银行对账</w:t>
            </w:r>
          </w:p>
        </w:tc>
        <w:tc>
          <w:tcPr>
            <w:tcW w:w="1083" w:type="dxa"/>
            <w:tcBorders>
              <w:top w:val="single" w:color="FFFFFF" w:sz="8" w:space="0"/>
              <w:left w:val="single" w:color="FFFFFF" w:sz="24" w:space="0"/>
              <w:bottom w:val="single" w:color="FFFFFF" w:sz="8" w:space="0"/>
              <w:right w:val="single" w:color="FFFFFF" w:sz="6" w:space="0"/>
            </w:tcBorders>
            <w:shd w:val="clear" w:color="auto" w:fill="A7BEDE"/>
          </w:tcPr>
          <w:p>
            <w:pPr>
              <w:pStyle w:val="35"/>
              <w:widowControl/>
              <w:spacing w:before="88"/>
              <w:ind w:right="447"/>
              <w:jc w:val="right"/>
              <w:rPr>
                <w:rFonts w:hint="default" w:ascii="思源黑体 CN Bold" w:hAnsi="思源黑体 CN Bold" w:eastAsia="思源黑体 CN Bold" w:cs="黑体"/>
                <w:sz w:val="24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sz w:val="24"/>
                <w:lang w:eastAsia="en-US"/>
              </w:rPr>
              <w:t>√</w:t>
            </w:r>
          </w:p>
        </w:tc>
        <w:tc>
          <w:tcPr>
            <w:tcW w:w="1081" w:type="dxa"/>
            <w:tcBorders>
              <w:top w:val="single" w:color="FFFFFF" w:sz="8" w:space="0"/>
              <w:left w:val="single" w:color="FFFFFF" w:sz="6" w:space="0"/>
              <w:bottom w:val="single" w:color="FFFFFF" w:sz="8" w:space="0"/>
              <w:right w:val="single" w:color="FFFFFF" w:sz="6" w:space="0"/>
            </w:tcBorders>
            <w:shd w:val="clear" w:color="auto" w:fill="A7BEDE"/>
          </w:tcPr>
          <w:p>
            <w:pPr>
              <w:pStyle w:val="35"/>
              <w:widowControl/>
              <w:rPr>
                <w:rFonts w:hint="default" w:ascii="思源黑体 CN Bold" w:hAnsi="思源黑体 CN Bold" w:eastAsia="思源黑体 CN Bold" w:cs="黑体"/>
                <w:lang w:eastAsia="en-US"/>
              </w:rPr>
            </w:pPr>
          </w:p>
        </w:tc>
        <w:tc>
          <w:tcPr>
            <w:tcW w:w="5279" w:type="dxa"/>
            <w:tcBorders>
              <w:top w:val="single" w:color="FFFFFF" w:sz="8" w:space="0"/>
              <w:left w:val="single" w:color="FFFFFF" w:sz="6" w:space="0"/>
              <w:bottom w:val="single" w:color="FFFFFF" w:sz="8" w:space="0"/>
              <w:right w:val="nil"/>
            </w:tcBorders>
            <w:shd w:val="clear" w:color="auto" w:fill="A7BEDE"/>
          </w:tcPr>
          <w:p>
            <w:pPr>
              <w:pStyle w:val="35"/>
              <w:widowControl/>
              <w:rPr>
                <w:rFonts w:hint="default" w:ascii="思源黑体 CN Bold" w:hAnsi="思源黑体 CN Bold" w:eastAsia="思源黑体 CN Bold" w:cs="黑体"/>
                <w:lang w:eastAsia="en-US"/>
              </w:rPr>
            </w:pPr>
          </w:p>
        </w:tc>
      </w:tr>
      <w:tr>
        <w:tblPrEx>
          <w:tblBorders>
            <w:top w:val="single" w:color="FFFFFF" w:sz="12" w:space="0"/>
            <w:left w:val="single" w:color="FFFFFF" w:sz="12" w:space="0"/>
            <w:bottom w:val="single" w:color="FFFFFF" w:sz="12" w:space="0"/>
            <w:right w:val="single" w:color="FFFFFF" w:sz="12" w:space="0"/>
            <w:insideH w:val="single" w:color="FFFFFF" w:sz="12" w:space="0"/>
            <w:insideV w:val="single" w:color="FFFFFF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808" w:type="dxa"/>
            <w:tcBorders>
              <w:top w:val="single" w:color="FFFFFF" w:sz="8" w:space="0"/>
              <w:left w:val="nil"/>
              <w:bottom w:val="nil"/>
              <w:right w:val="single" w:color="FFFFFF" w:sz="24" w:space="0"/>
            </w:tcBorders>
            <w:shd w:val="clear" w:color="auto" w:fill="4F81BC"/>
          </w:tcPr>
          <w:p>
            <w:pPr>
              <w:pStyle w:val="35"/>
              <w:widowControl/>
              <w:spacing w:before="88"/>
              <w:ind w:left="177"/>
              <w:rPr>
                <w:rFonts w:hint="default" w:ascii="思源黑体 CN Bold" w:hAnsi="思源黑体 CN Bold" w:eastAsia="思源黑体 CN Bold" w:cs="黑体"/>
                <w:b/>
                <w:i/>
                <w:sz w:val="24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b/>
                <w:i/>
                <w:color w:val="FFFFFF"/>
                <w:sz w:val="24"/>
                <w:lang w:eastAsia="en-US"/>
              </w:rPr>
              <w:t>固定资产期初</w:t>
            </w:r>
          </w:p>
        </w:tc>
        <w:tc>
          <w:tcPr>
            <w:tcW w:w="1083" w:type="dxa"/>
            <w:tcBorders>
              <w:top w:val="single" w:color="FFFFFF" w:sz="8" w:space="0"/>
              <w:left w:val="single" w:color="FFFFFF" w:sz="24" w:space="0"/>
              <w:bottom w:val="nil"/>
              <w:right w:val="single" w:color="FFFFFF" w:sz="6" w:space="0"/>
            </w:tcBorders>
            <w:shd w:val="clear" w:color="auto" w:fill="A7BEDE"/>
          </w:tcPr>
          <w:p>
            <w:pPr>
              <w:pStyle w:val="35"/>
              <w:widowControl/>
              <w:spacing w:before="88"/>
              <w:ind w:right="447"/>
              <w:jc w:val="right"/>
              <w:rPr>
                <w:rFonts w:hint="default" w:ascii="思源黑体 CN Bold" w:hAnsi="思源黑体 CN Bold" w:eastAsia="思源黑体 CN Bold" w:cs="黑体"/>
                <w:sz w:val="24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sz w:val="24"/>
                <w:lang w:eastAsia="en-US"/>
              </w:rPr>
              <w:t>√</w:t>
            </w:r>
          </w:p>
        </w:tc>
        <w:tc>
          <w:tcPr>
            <w:tcW w:w="1081" w:type="dxa"/>
            <w:tcBorders>
              <w:top w:val="single" w:color="FFFFFF" w:sz="8" w:space="0"/>
              <w:left w:val="single" w:color="FFFFFF" w:sz="6" w:space="0"/>
              <w:bottom w:val="nil"/>
              <w:right w:val="single" w:color="FFFFFF" w:sz="6" w:space="0"/>
            </w:tcBorders>
            <w:shd w:val="clear" w:color="auto" w:fill="A7BEDE"/>
          </w:tcPr>
          <w:p>
            <w:pPr>
              <w:pStyle w:val="35"/>
              <w:widowControl/>
              <w:rPr>
                <w:rFonts w:hint="default" w:ascii="思源黑体 CN Bold" w:hAnsi="思源黑体 CN Bold" w:eastAsia="思源黑体 CN Bold" w:cs="黑体"/>
                <w:lang w:eastAsia="en-US"/>
              </w:rPr>
            </w:pPr>
          </w:p>
        </w:tc>
        <w:tc>
          <w:tcPr>
            <w:tcW w:w="5279" w:type="dxa"/>
            <w:tcBorders>
              <w:top w:val="single" w:color="FFFFFF" w:sz="8" w:space="0"/>
              <w:left w:val="single" w:color="FFFFFF" w:sz="6" w:space="0"/>
              <w:bottom w:val="nil"/>
              <w:right w:val="nil"/>
            </w:tcBorders>
            <w:shd w:val="clear" w:color="auto" w:fill="A7BEDE"/>
          </w:tcPr>
          <w:p>
            <w:pPr>
              <w:pStyle w:val="35"/>
              <w:widowControl/>
              <w:rPr>
                <w:rFonts w:hint="default" w:ascii="思源黑体 CN Bold" w:hAnsi="思源黑体 CN Bold" w:eastAsia="思源黑体 CN Bold" w:cs="黑体"/>
                <w:lang w:eastAsia="en-US"/>
              </w:rPr>
            </w:pPr>
          </w:p>
        </w:tc>
      </w:tr>
    </w:tbl>
    <w:p>
      <w:pPr>
        <w:pStyle w:val="12"/>
        <w:widowControl w:val="0"/>
        <w:autoSpaceDE w:val="0"/>
        <w:autoSpaceDN w:val="0"/>
        <w:spacing w:before="2" w:beforeAutospacing="0" w:after="0" w:afterAutospacing="0"/>
        <w:rPr>
          <w:rFonts w:ascii="思源黑体 CN Bold" w:hAnsi="思源黑体 CN Bold" w:eastAsia="思源黑体 CN Bold" w:cs="黑体"/>
          <w:b/>
          <w:i/>
          <w:sz w:val="5"/>
        </w:rPr>
      </w:pPr>
    </w:p>
    <w:p>
      <w:pPr>
        <w:pStyle w:val="12"/>
        <w:widowControl w:val="0"/>
        <w:autoSpaceDE w:val="0"/>
        <w:autoSpaceDN w:val="0"/>
        <w:spacing w:before="38" w:beforeAutospacing="0" w:after="0" w:afterAutospacing="0" w:line="336" w:lineRule="auto"/>
        <w:ind w:left="212" w:right="712"/>
        <w:rPr>
          <w:rFonts w:ascii="思源黑体 CN Bold" w:hAnsi="思源黑体 CN Bold" w:eastAsia="思源黑体 CN Bold" w:cs="黑体"/>
        </w:rPr>
      </w:pPr>
      <w:r>
        <w:rPr>
          <w:rFonts w:hint="eastAsia" w:ascii="思源黑体 CN Bold" w:hAnsi="思源黑体 CN Bold" w:eastAsia="思源黑体 CN Bold" w:cs="黑体"/>
          <w:lang w:bidi="ar"/>
        </w:rPr>
        <w:t>备注：按明细结转过来的往来期初余额不允许查看，如果想要查看上年往来余额，可以查看应收/</w:t>
      </w:r>
      <w:r>
        <w:rPr>
          <w:rFonts w:hint="eastAsia" w:ascii="思源黑体 CN Bold" w:hAnsi="思源黑体 CN Bold" w:eastAsia="思源黑体 CN Bold" w:cs="黑体"/>
          <w:spacing w:val="-7"/>
          <w:lang w:bidi="ar"/>
        </w:rPr>
        <w:t>应付总账和明细账中的期初余额</w:t>
      </w:r>
      <w:r>
        <w:rPr>
          <w:rFonts w:hint="eastAsia" w:ascii="思源黑体 CN Bold" w:hAnsi="思源黑体 CN Bold" w:eastAsia="思源黑体 CN Bold" w:cs="黑体"/>
          <w:lang w:bidi="ar"/>
        </w:rPr>
        <w:t>（</w:t>
      </w:r>
      <w:r>
        <w:rPr>
          <w:rFonts w:hint="eastAsia" w:ascii="思源黑体 CN Bold" w:hAnsi="思源黑体 CN Bold" w:eastAsia="思源黑体 CN Bold" w:cs="黑体"/>
          <w:spacing w:val="-12"/>
          <w:lang w:bidi="ar"/>
        </w:rPr>
        <w:t xml:space="preserve">注意：明细账查询的时候需要将余额字段显示为显示， </w:t>
      </w:r>
      <w:r>
        <w:rPr>
          <w:rFonts w:hint="eastAsia" w:ascii="思源黑体 CN Bold" w:hAnsi="思源黑体 CN Bold" w:eastAsia="思源黑体 CN Bold" w:cs="黑体"/>
          <w:lang w:bidi="ar"/>
        </w:rPr>
        <w:t>否则查看不到</w:t>
      </w:r>
      <w:r>
        <w:rPr>
          <w:rFonts w:hint="eastAsia" w:ascii="思源黑体 CN Bold" w:hAnsi="思源黑体 CN Bold" w:eastAsia="思源黑体 CN Bold" w:cs="黑体"/>
          <w:spacing w:val="-120"/>
          <w:lang w:bidi="ar"/>
        </w:rPr>
        <w:t>）</w:t>
      </w:r>
      <w:r>
        <w:rPr>
          <w:rFonts w:hint="eastAsia" w:ascii="思源黑体 CN Bold" w:hAnsi="思源黑体 CN Bold" w:eastAsia="思源黑体 CN Bold" w:cs="黑体"/>
          <w:lang w:bidi="ar"/>
        </w:rPr>
        <w:t>。</w:t>
      </w:r>
    </w:p>
    <w:p>
      <w:pPr>
        <w:pStyle w:val="4"/>
        <w:keepNext w:val="0"/>
        <w:keepLines w:val="0"/>
        <w:numPr>
          <w:ilvl w:val="0"/>
          <w:numId w:val="5"/>
        </w:numPr>
        <w:tabs>
          <w:tab w:val="left" w:pos="844"/>
        </w:tabs>
        <w:autoSpaceDE w:val="0"/>
        <w:autoSpaceDN w:val="0"/>
        <w:spacing w:before="1" w:after="0" w:line="336" w:lineRule="auto"/>
        <w:ind w:left="933" w:right="829" w:hanging="721"/>
        <w:jc w:val="left"/>
        <w:rPr>
          <w:rFonts w:ascii="思源黑体 CN Bold" w:hAnsi="思源黑体 CN Bold" w:eastAsia="思源黑体 CN Bold" w:cs="黑体"/>
          <w:color w:val="0000CC"/>
          <w:sz w:val="22"/>
        </w:rPr>
      </w:pPr>
      <w:r>
        <w:rPr>
          <w:rFonts w:hint="eastAsia" w:ascii="思源黑体 CN Bold" w:hAnsi="思源黑体 CN Bold" w:eastAsia="思源黑体 CN Bold" w:cs="黑体"/>
          <w:color w:val="0000CC"/>
          <w:spacing w:val="-2"/>
        </w:rPr>
        <w:t xml:space="preserve">期间结转前后单据结转情况？  </w:t>
      </w:r>
      <w:r>
        <w:rPr>
          <w:rFonts w:hint="eastAsia" w:ascii="思源黑体 CN Bold" w:hAnsi="思源黑体 CN Bold" w:eastAsia="思源黑体 CN Bold" w:cs="黑体"/>
          <w:color w:val="0000CC"/>
          <w:spacing w:val="2"/>
        </w:rPr>
        <w:t>（</w:t>
      </w:r>
      <w:r>
        <w:rPr>
          <w:rFonts w:hint="eastAsia" w:ascii="思源黑体 CN Bold" w:hAnsi="思源黑体 CN Bold" w:eastAsia="思源黑体 CN Bold" w:cs="黑体"/>
          <w:color w:val="0000CC"/>
          <w:spacing w:val="-17"/>
        </w:rPr>
        <w:t>注：下表中，“</w:t>
      </w:r>
      <w:r>
        <w:rPr>
          <w:rFonts w:hint="eastAsia" w:ascii="思源黑体 CN Bold" w:hAnsi="思源黑体 CN Bold" w:eastAsia="思源黑体 CN Bold" w:cs="黑体"/>
          <w:color w:val="0000CC"/>
        </w:rPr>
        <w:t>-</w:t>
      </w:r>
      <w:r>
        <w:rPr>
          <w:rFonts w:hint="eastAsia" w:ascii="思源黑体 CN Bold" w:hAnsi="思源黑体 CN Bold" w:eastAsia="思源黑体 CN Bold" w:cs="黑体"/>
          <w:color w:val="0000CC"/>
          <w:spacing w:val="-10"/>
        </w:rPr>
        <w:t>”代表不存在这种情况，“是”代表</w:t>
      </w:r>
      <w:r>
        <w:rPr>
          <w:rFonts w:hint="eastAsia" w:ascii="思源黑体 CN Bold" w:hAnsi="思源黑体 CN Bold" w:eastAsia="思源黑体 CN Bold" w:cs="黑体"/>
          <w:color w:val="0000CC"/>
          <w:spacing w:val="-16"/>
        </w:rPr>
        <w:t>结转后依然存在新帐套中，“否”代表结转后不存在新帐套中</w:t>
      </w:r>
      <w:r>
        <w:rPr>
          <w:rFonts w:hint="eastAsia" w:ascii="思源黑体 CN Bold" w:hAnsi="思源黑体 CN Bold" w:eastAsia="思源黑体 CN Bold" w:cs="黑体"/>
          <w:color w:val="0000CC"/>
        </w:rPr>
        <w:t>）</w:t>
      </w:r>
    </w:p>
    <w:p>
      <w:pPr>
        <w:pStyle w:val="12"/>
        <w:widowControl w:val="0"/>
        <w:autoSpaceDE w:val="0"/>
        <w:autoSpaceDN w:val="0"/>
        <w:spacing w:before="0" w:beforeAutospacing="0" w:after="0" w:afterAutospacing="0"/>
        <w:ind w:left="212"/>
        <w:rPr>
          <w:rFonts w:ascii="思源黑体 CN Bold" w:hAnsi="思源黑体 CN Bold" w:eastAsia="思源黑体 CN Bold" w:cs="黑体"/>
        </w:rPr>
      </w:pPr>
      <w:r>
        <w:rPr>
          <w:rFonts w:hint="eastAsia" w:ascii="思源黑体 CN Bold" w:hAnsi="思源黑体 CN Bold" w:eastAsia="思源黑体 CN Bold" w:cs="黑体"/>
          <w:lang w:bidi="ar"/>
        </w:rPr>
        <w:t>a、按明细结转情况如下：</w:t>
      </w:r>
    </w:p>
    <w:p>
      <w:pPr>
        <w:rPr>
          <w:rFonts w:ascii="思源黑体 CN Bold" w:hAnsi="思源黑体 CN Bold" w:eastAsia="思源黑体 CN Bold" w:cs="黑体"/>
          <w:lang w:bidi="ar"/>
        </w:rPr>
        <w:sectPr>
          <w:pgSz w:w="11910" w:h="16840"/>
          <w:pgMar w:top="980" w:right="300" w:bottom="740" w:left="920" w:header="272" w:footer="551" w:gutter="0"/>
          <w:cols w:space="425" w:num="1"/>
          <w:docGrid w:type="lines" w:linePitch="312" w:charSpace="0"/>
        </w:sectPr>
      </w:pPr>
    </w:p>
    <w:p>
      <w:pPr>
        <w:pStyle w:val="12"/>
        <w:widowControl w:val="0"/>
        <w:autoSpaceDE w:val="0"/>
        <w:autoSpaceDN w:val="0"/>
        <w:spacing w:before="13" w:beforeAutospacing="0" w:after="0" w:afterAutospacing="0"/>
        <w:rPr>
          <w:rFonts w:ascii="思源黑体 CN Bold" w:hAnsi="思源黑体 CN Bold" w:eastAsia="思源黑体 CN Bold" w:cs="黑体"/>
          <w:sz w:val="3"/>
        </w:rPr>
      </w:pPr>
    </w:p>
    <w:tbl>
      <w:tblPr>
        <w:tblStyle w:val="14"/>
        <w:tblW w:w="0" w:type="auto"/>
        <w:tblInd w:w="221" w:type="dxa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10"/>
        <w:gridCol w:w="1541"/>
        <w:gridCol w:w="822"/>
        <w:gridCol w:w="822"/>
        <w:gridCol w:w="822"/>
        <w:gridCol w:w="822"/>
        <w:gridCol w:w="4586"/>
      </w:tblGrid>
      <w:tr>
        <w:tblPrEx>
          <w:tblBorders>
            <w:top w:val="single" w:color="FFFFFF" w:sz="6" w:space="0"/>
            <w:left w:val="single" w:color="FFFFFF" w:sz="6" w:space="0"/>
            <w:bottom w:val="single" w:color="FFFFFF" w:sz="6" w:space="0"/>
            <w:right w:val="single" w:color="FFFFFF" w:sz="6" w:space="0"/>
            <w:insideH w:val="single" w:color="FFFFFF" w:sz="6" w:space="0"/>
            <w:insideV w:val="single" w:color="FFFFF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810" w:type="dxa"/>
            <w:tcBorders>
              <w:top w:val="single" w:color="FFFFFF" w:sz="6" w:space="0"/>
              <w:left w:val="nil"/>
              <w:bottom w:val="single" w:color="FFFFFF" w:sz="12" w:space="0"/>
              <w:right w:val="single" w:color="FFFFFF" w:sz="12" w:space="0"/>
            </w:tcBorders>
            <w:shd w:val="clear" w:color="auto" w:fill="528DD4"/>
          </w:tcPr>
          <w:p>
            <w:pPr>
              <w:pStyle w:val="35"/>
              <w:widowControl/>
              <w:spacing w:before="170"/>
              <w:ind w:left="228"/>
              <w:rPr>
                <w:rFonts w:hint="default" w:ascii="思源黑体 CN Bold" w:hAnsi="思源黑体 CN Bold" w:eastAsia="思源黑体 CN Bold" w:cs="黑体"/>
                <w:b/>
                <w:i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b/>
                <w:i/>
                <w:color w:val="FFFFFF"/>
                <w:w w:val="105"/>
                <w:sz w:val="17"/>
                <w:lang w:eastAsia="en-US"/>
              </w:rPr>
              <w:t>模块</w:t>
            </w:r>
          </w:p>
        </w:tc>
        <w:tc>
          <w:tcPr>
            <w:tcW w:w="1541" w:type="dxa"/>
            <w:tcBorders>
              <w:top w:val="single" w:color="FFFFFF" w:sz="6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528DD4"/>
          </w:tcPr>
          <w:p>
            <w:pPr>
              <w:pStyle w:val="35"/>
              <w:widowControl/>
              <w:spacing w:before="170"/>
              <w:ind w:left="127" w:right="93"/>
              <w:jc w:val="center"/>
              <w:rPr>
                <w:rFonts w:hint="default" w:ascii="思源黑体 CN Bold" w:hAnsi="思源黑体 CN Bold" w:eastAsia="思源黑体 CN Bold" w:cs="黑体"/>
                <w:b/>
                <w:i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b/>
                <w:i/>
                <w:color w:val="FFFFFF"/>
                <w:w w:val="105"/>
                <w:sz w:val="17"/>
                <w:lang w:eastAsia="en-US"/>
              </w:rPr>
              <w:t>单据类型</w:t>
            </w:r>
          </w:p>
        </w:tc>
        <w:tc>
          <w:tcPr>
            <w:tcW w:w="822" w:type="dxa"/>
            <w:tcBorders>
              <w:top w:val="single" w:color="FFFFFF" w:sz="6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528DD4"/>
          </w:tcPr>
          <w:p>
            <w:pPr>
              <w:pStyle w:val="35"/>
              <w:widowControl/>
              <w:spacing w:before="170"/>
              <w:ind w:left="28" w:right="7"/>
              <w:jc w:val="center"/>
              <w:rPr>
                <w:rFonts w:hint="default" w:ascii="思源黑体 CN Bold" w:hAnsi="思源黑体 CN Bold" w:eastAsia="思源黑体 CN Bold" w:cs="黑体"/>
                <w:b/>
                <w:i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b/>
                <w:i/>
                <w:color w:val="FFFFFF"/>
                <w:w w:val="105"/>
                <w:sz w:val="17"/>
                <w:lang w:eastAsia="en-US"/>
              </w:rPr>
              <w:t>保存</w:t>
            </w:r>
          </w:p>
        </w:tc>
        <w:tc>
          <w:tcPr>
            <w:tcW w:w="822" w:type="dxa"/>
            <w:tcBorders>
              <w:top w:val="single" w:color="FFFFFF" w:sz="6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528DD4"/>
          </w:tcPr>
          <w:p>
            <w:pPr>
              <w:pStyle w:val="35"/>
              <w:widowControl/>
              <w:spacing w:before="170"/>
              <w:ind w:left="28" w:right="8"/>
              <w:jc w:val="center"/>
              <w:rPr>
                <w:rFonts w:hint="default" w:ascii="思源黑体 CN Bold" w:hAnsi="思源黑体 CN Bold" w:eastAsia="思源黑体 CN Bold" w:cs="黑体"/>
                <w:b/>
                <w:i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b/>
                <w:i/>
                <w:color w:val="FFFFFF"/>
                <w:w w:val="105"/>
                <w:sz w:val="17"/>
                <w:lang w:eastAsia="en-US"/>
              </w:rPr>
              <w:t>审核</w:t>
            </w:r>
          </w:p>
        </w:tc>
        <w:tc>
          <w:tcPr>
            <w:tcW w:w="822" w:type="dxa"/>
            <w:tcBorders>
              <w:top w:val="single" w:color="FFFFFF" w:sz="6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528DD4"/>
          </w:tcPr>
          <w:p>
            <w:pPr>
              <w:pStyle w:val="35"/>
              <w:widowControl/>
              <w:spacing w:before="81" w:line="194" w:lineRule="auto"/>
              <w:ind w:left="40" w:right="18"/>
              <w:rPr>
                <w:rFonts w:hint="default" w:ascii="思源黑体 CN Bold" w:hAnsi="思源黑体 CN Bold" w:eastAsia="思源黑体 CN Bold" w:cs="黑体"/>
                <w:b/>
                <w:i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b/>
                <w:i/>
                <w:color w:val="FFFFFF"/>
                <w:w w:val="105"/>
                <w:sz w:val="17"/>
                <w:lang w:eastAsia="en-US"/>
              </w:rPr>
              <w:t>部分生成后续单据</w:t>
            </w:r>
          </w:p>
        </w:tc>
        <w:tc>
          <w:tcPr>
            <w:tcW w:w="822" w:type="dxa"/>
            <w:tcBorders>
              <w:top w:val="single" w:color="FFFFFF" w:sz="6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528DD4"/>
          </w:tcPr>
          <w:p>
            <w:pPr>
              <w:pStyle w:val="35"/>
              <w:widowControl/>
              <w:spacing w:line="209" w:lineRule="exact"/>
              <w:ind w:left="28" w:right="10"/>
              <w:jc w:val="center"/>
              <w:rPr>
                <w:rFonts w:hint="default" w:ascii="思源黑体 CN Bold" w:hAnsi="思源黑体 CN Bold" w:eastAsia="思源黑体 CN Bold" w:cs="黑体"/>
                <w:b/>
                <w:i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b/>
                <w:i/>
                <w:color w:val="FFFFFF"/>
                <w:w w:val="105"/>
                <w:sz w:val="17"/>
                <w:lang w:eastAsia="en-US"/>
              </w:rPr>
              <w:t>完成后续</w:t>
            </w:r>
          </w:p>
          <w:p>
            <w:pPr>
              <w:pStyle w:val="35"/>
              <w:widowControl/>
              <w:spacing w:line="257" w:lineRule="exact"/>
              <w:ind w:left="28" w:right="10"/>
              <w:jc w:val="center"/>
              <w:rPr>
                <w:rFonts w:hint="default" w:ascii="思源黑体 CN Bold" w:hAnsi="思源黑体 CN Bold" w:eastAsia="思源黑体 CN Bold" w:cs="黑体"/>
                <w:b/>
                <w:i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b/>
                <w:i/>
                <w:color w:val="FFFFFF"/>
                <w:w w:val="105"/>
                <w:sz w:val="17"/>
                <w:lang w:eastAsia="en-US"/>
              </w:rPr>
              <w:t>单据且制</w:t>
            </w:r>
          </w:p>
          <w:p>
            <w:pPr>
              <w:pStyle w:val="35"/>
              <w:widowControl/>
              <w:spacing w:line="193" w:lineRule="exact"/>
              <w:ind w:left="17"/>
              <w:jc w:val="center"/>
              <w:rPr>
                <w:rFonts w:hint="default" w:ascii="思源黑体 CN Bold" w:hAnsi="思源黑体 CN Bold" w:eastAsia="思源黑体 CN Bold" w:cs="黑体"/>
                <w:b/>
                <w:i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b/>
                <w:i/>
                <w:color w:val="FFFFFF"/>
                <w:w w:val="107"/>
                <w:sz w:val="17"/>
                <w:lang w:eastAsia="en-US"/>
              </w:rPr>
              <w:t>单</w:t>
            </w:r>
          </w:p>
        </w:tc>
        <w:tc>
          <w:tcPr>
            <w:tcW w:w="4586" w:type="dxa"/>
            <w:tcBorders>
              <w:top w:val="single" w:color="FFFFFF" w:sz="6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528DD4"/>
          </w:tcPr>
          <w:p>
            <w:pPr>
              <w:pStyle w:val="35"/>
              <w:widowControl/>
              <w:spacing w:before="170"/>
              <w:ind w:left="89" w:right="72"/>
              <w:jc w:val="center"/>
              <w:rPr>
                <w:rFonts w:hint="default" w:ascii="思源黑体 CN Bold" w:hAnsi="思源黑体 CN Bold" w:eastAsia="思源黑体 CN Bold" w:cs="黑体"/>
                <w:b/>
                <w:i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b/>
                <w:i/>
                <w:color w:val="FFFFFF"/>
                <w:w w:val="105"/>
                <w:sz w:val="17"/>
                <w:lang w:eastAsia="en-US"/>
              </w:rPr>
              <w:t>注  意</w:t>
            </w:r>
          </w:p>
        </w:tc>
      </w:tr>
      <w:tr>
        <w:tblPrEx>
          <w:tblBorders>
            <w:top w:val="single" w:color="FFFFFF" w:sz="6" w:space="0"/>
            <w:left w:val="single" w:color="FFFFFF" w:sz="6" w:space="0"/>
            <w:bottom w:val="single" w:color="FFFFFF" w:sz="6" w:space="0"/>
            <w:right w:val="single" w:color="FFFFFF" w:sz="6" w:space="0"/>
            <w:insideH w:val="single" w:color="FFFFFF" w:sz="6" w:space="0"/>
            <w:insideV w:val="single" w:color="FFFFF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810" w:type="dxa"/>
            <w:vMerge w:val="restart"/>
            <w:tcBorders>
              <w:top w:val="single" w:color="FFFFFF" w:sz="12" w:space="0"/>
              <w:left w:val="nil"/>
              <w:bottom w:val="single" w:color="FFFFFF" w:sz="12" w:space="0"/>
              <w:right w:val="single" w:color="FFFFFF" w:sz="12" w:space="0"/>
            </w:tcBorders>
            <w:shd w:val="clear" w:color="auto" w:fill="528DD4"/>
          </w:tcPr>
          <w:p>
            <w:pPr>
              <w:pStyle w:val="35"/>
              <w:widowControl/>
              <w:rPr>
                <w:rFonts w:hint="default" w:ascii="思源黑体 CN Bold" w:hAnsi="思源黑体 CN Bold" w:eastAsia="思源黑体 CN Bold" w:cs="黑体"/>
                <w:lang w:eastAsia="en-US"/>
              </w:rPr>
            </w:pPr>
          </w:p>
          <w:p>
            <w:pPr>
              <w:pStyle w:val="35"/>
              <w:widowControl/>
              <w:spacing w:before="2"/>
              <w:rPr>
                <w:rFonts w:hint="default" w:ascii="思源黑体 CN Bold" w:hAnsi="思源黑体 CN Bold" w:eastAsia="思源黑体 CN Bold" w:cs="黑体"/>
                <w:sz w:val="23"/>
                <w:lang w:eastAsia="en-US"/>
              </w:rPr>
            </w:pPr>
          </w:p>
          <w:p>
            <w:pPr>
              <w:pStyle w:val="35"/>
              <w:widowControl/>
              <w:ind w:left="45"/>
              <w:rPr>
                <w:rFonts w:hint="default" w:ascii="思源黑体 CN Bold" w:hAnsi="思源黑体 CN Bold" w:eastAsia="思源黑体 CN Bold" w:cs="黑体"/>
                <w:b/>
                <w:i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b/>
                <w:i/>
                <w:color w:val="FFFFFF"/>
                <w:w w:val="105"/>
                <w:sz w:val="17"/>
                <w:lang w:eastAsia="en-US"/>
              </w:rPr>
              <w:t>往来现金</w:t>
            </w:r>
          </w:p>
        </w:tc>
        <w:tc>
          <w:tcPr>
            <w:tcW w:w="154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before="15"/>
              <w:rPr>
                <w:rFonts w:hint="default" w:ascii="思源黑体 CN Bold" w:hAnsi="思源黑体 CN Bold" w:eastAsia="思源黑体 CN Bold" w:cs="黑体"/>
                <w:sz w:val="10"/>
                <w:lang w:eastAsia="en-US"/>
              </w:rPr>
            </w:pPr>
          </w:p>
          <w:p>
            <w:pPr>
              <w:pStyle w:val="35"/>
              <w:widowControl/>
              <w:ind w:left="127" w:right="93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5"/>
                <w:sz w:val="17"/>
                <w:lang w:eastAsia="en-US"/>
              </w:rPr>
              <w:t>收款单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before="15"/>
              <w:rPr>
                <w:rFonts w:hint="default" w:ascii="思源黑体 CN Bold" w:hAnsi="思源黑体 CN Bold" w:eastAsia="思源黑体 CN Bold" w:cs="黑体"/>
                <w:sz w:val="10"/>
                <w:lang w:eastAsia="en-US"/>
              </w:rPr>
            </w:pPr>
          </w:p>
          <w:p>
            <w:pPr>
              <w:pStyle w:val="35"/>
              <w:widowControl/>
              <w:ind w:left="21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是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before="15"/>
              <w:rPr>
                <w:rFonts w:hint="default" w:ascii="思源黑体 CN Bold" w:hAnsi="思源黑体 CN Bold" w:eastAsia="思源黑体 CN Bold" w:cs="黑体"/>
                <w:sz w:val="10"/>
                <w:lang w:eastAsia="en-US"/>
              </w:rPr>
            </w:pPr>
          </w:p>
          <w:p>
            <w:pPr>
              <w:pStyle w:val="35"/>
              <w:widowControl/>
              <w:ind w:left="34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—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before="15"/>
              <w:rPr>
                <w:rFonts w:hint="default" w:ascii="思源黑体 CN Bold" w:hAnsi="思源黑体 CN Bold" w:eastAsia="思源黑体 CN Bold" w:cs="黑体"/>
                <w:sz w:val="10"/>
                <w:lang w:eastAsia="en-US"/>
              </w:rPr>
            </w:pPr>
          </w:p>
          <w:p>
            <w:pPr>
              <w:pStyle w:val="35"/>
              <w:widowControl/>
              <w:ind w:left="18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是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before="15"/>
              <w:rPr>
                <w:rFonts w:hint="default" w:ascii="思源黑体 CN Bold" w:hAnsi="思源黑体 CN Bold" w:eastAsia="思源黑体 CN Bold" w:cs="黑体"/>
                <w:sz w:val="10"/>
                <w:lang w:eastAsia="en-US"/>
              </w:rPr>
            </w:pPr>
          </w:p>
          <w:p>
            <w:pPr>
              <w:pStyle w:val="35"/>
              <w:widowControl/>
              <w:ind w:left="313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否</w:t>
            </w:r>
          </w:p>
        </w:tc>
        <w:tc>
          <w:tcPr>
            <w:tcW w:w="4586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187" w:lineRule="auto"/>
              <w:ind w:left="96" w:right="72"/>
              <w:jc w:val="center"/>
              <w:rPr>
                <w:rFonts w:hint="default" w:ascii="思源黑体 CN Bold" w:hAnsi="思源黑体 CN Bold" w:eastAsia="思源黑体 CN Bold" w:cs="黑体"/>
                <w:sz w:val="17"/>
              </w:rPr>
            </w:pPr>
            <w:r>
              <w:rPr>
                <w:rFonts w:ascii="思源黑体 CN Bold" w:hAnsi="思源黑体 CN Bold" w:eastAsia="思源黑体 CN Bold" w:cs="黑体"/>
                <w:w w:val="105"/>
                <w:sz w:val="17"/>
              </w:rPr>
              <w:t>部分核销、未核销（预收款），在期间结转时都会结转到新帐套中。期间结转过来之后，没有执行后续业务的</w:t>
            </w:r>
          </w:p>
          <w:p>
            <w:pPr>
              <w:pStyle w:val="35"/>
              <w:widowControl/>
              <w:spacing w:line="204" w:lineRule="exact"/>
              <w:ind w:left="91" w:right="72"/>
              <w:jc w:val="center"/>
              <w:rPr>
                <w:rFonts w:hint="default" w:ascii="思源黑体 CN Bold" w:hAnsi="思源黑体 CN Bold" w:eastAsia="思源黑体 CN Bold" w:cs="黑体"/>
                <w:sz w:val="17"/>
              </w:rPr>
            </w:pPr>
            <w:r>
              <w:rPr>
                <w:rFonts w:ascii="思源黑体 CN Bold" w:hAnsi="思源黑体 CN Bold" w:eastAsia="思源黑体 CN Bold" w:cs="黑体"/>
                <w:w w:val="105"/>
                <w:sz w:val="17"/>
              </w:rPr>
              <w:t>单据，可以进行删除和修改。</w:t>
            </w:r>
          </w:p>
        </w:tc>
      </w:tr>
      <w:tr>
        <w:tblPrEx>
          <w:tblBorders>
            <w:top w:val="single" w:color="FFFFFF" w:sz="6" w:space="0"/>
            <w:left w:val="single" w:color="FFFFFF" w:sz="6" w:space="0"/>
            <w:bottom w:val="single" w:color="FFFFFF" w:sz="6" w:space="0"/>
            <w:right w:val="single" w:color="FFFFFF" w:sz="6" w:space="0"/>
            <w:insideH w:val="single" w:color="FFFFFF" w:sz="6" w:space="0"/>
            <w:insideV w:val="single" w:color="FFFFF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810" w:type="dxa"/>
            <w:vMerge w:val="continue"/>
            <w:tcBorders>
              <w:top w:val="single" w:color="FFFFFF" w:sz="12" w:space="0"/>
              <w:left w:val="nil"/>
              <w:bottom w:val="single" w:color="FFFFFF" w:sz="12" w:space="0"/>
              <w:right w:val="single" w:color="FFFFFF" w:sz="12" w:space="0"/>
            </w:tcBorders>
            <w:shd w:val="clear" w:color="auto" w:fill="528DD4"/>
          </w:tcPr>
          <w:p>
            <w:pPr>
              <w:rPr>
                <w:rFonts w:ascii="思源黑体 CN Bold" w:hAnsi="思源黑体 CN Bold" w:eastAsia="思源黑体 CN Bold" w:cs="黑体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before="82"/>
              <w:ind w:left="127" w:right="93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5"/>
                <w:sz w:val="17"/>
                <w:lang w:eastAsia="en-US"/>
              </w:rPr>
              <w:t>付款单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before="82"/>
              <w:ind w:left="21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是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before="82"/>
              <w:ind w:left="34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—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before="82"/>
              <w:ind w:left="18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是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before="82"/>
              <w:ind w:left="313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否</w:t>
            </w:r>
          </w:p>
        </w:tc>
        <w:tc>
          <w:tcPr>
            <w:tcW w:w="4586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33" w:lineRule="exact"/>
              <w:ind w:left="93" w:right="72"/>
              <w:jc w:val="center"/>
              <w:rPr>
                <w:rFonts w:hint="default" w:ascii="思源黑体 CN Bold" w:hAnsi="思源黑体 CN Bold" w:eastAsia="思源黑体 CN Bold" w:cs="黑体"/>
                <w:sz w:val="17"/>
              </w:rPr>
            </w:pPr>
            <w:r>
              <w:rPr>
                <w:rFonts w:ascii="思源黑体 CN Bold" w:hAnsi="思源黑体 CN Bold" w:eastAsia="思源黑体 CN Bold" w:cs="黑体"/>
                <w:w w:val="105"/>
                <w:sz w:val="17"/>
              </w:rPr>
              <w:t>与采购有关的进货单都会结转过，如果核销的是费用单</w:t>
            </w:r>
          </w:p>
          <w:p>
            <w:pPr>
              <w:pStyle w:val="35"/>
              <w:widowControl/>
              <w:spacing w:line="220" w:lineRule="exact"/>
              <w:ind w:left="91" w:right="72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5"/>
                <w:sz w:val="17"/>
                <w:lang w:eastAsia="en-US"/>
              </w:rPr>
              <w:t>则不会结转过来</w:t>
            </w:r>
          </w:p>
        </w:tc>
      </w:tr>
      <w:tr>
        <w:tblPrEx>
          <w:tblBorders>
            <w:top w:val="single" w:color="FFFFFF" w:sz="6" w:space="0"/>
            <w:left w:val="single" w:color="FFFFFF" w:sz="6" w:space="0"/>
            <w:bottom w:val="single" w:color="FFFFFF" w:sz="6" w:space="0"/>
            <w:right w:val="single" w:color="FFFFFF" w:sz="6" w:space="0"/>
            <w:insideH w:val="single" w:color="FFFFFF" w:sz="6" w:space="0"/>
            <w:insideV w:val="single" w:color="FFFFF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810" w:type="dxa"/>
            <w:vMerge w:val="continue"/>
            <w:tcBorders>
              <w:top w:val="single" w:color="FFFFFF" w:sz="12" w:space="0"/>
              <w:left w:val="nil"/>
              <w:bottom w:val="single" w:color="FFFFFF" w:sz="12" w:space="0"/>
              <w:right w:val="single" w:color="FFFFFF" w:sz="12" w:space="0"/>
            </w:tcBorders>
            <w:shd w:val="clear" w:color="auto" w:fill="528DD4"/>
          </w:tcPr>
          <w:p>
            <w:pPr>
              <w:rPr>
                <w:rFonts w:ascii="思源黑体 CN Bold" w:hAnsi="思源黑体 CN Bold" w:eastAsia="思源黑体 CN Bold" w:cs="黑体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127" w:right="93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5"/>
                <w:sz w:val="17"/>
                <w:lang w:eastAsia="en-US"/>
              </w:rPr>
              <w:t>收入单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35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—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19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是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18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是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313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否</w:t>
            </w:r>
          </w:p>
        </w:tc>
        <w:tc>
          <w:tcPr>
            <w:tcW w:w="4586" w:type="dxa"/>
            <w:vMerge w:val="restart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33" w:lineRule="exact"/>
              <w:ind w:left="93" w:right="72"/>
              <w:jc w:val="center"/>
              <w:rPr>
                <w:rFonts w:hint="default" w:ascii="思源黑体 CN Bold" w:hAnsi="思源黑体 CN Bold" w:eastAsia="思源黑体 CN Bold" w:cs="黑体"/>
                <w:sz w:val="17"/>
              </w:rPr>
            </w:pPr>
            <w:r>
              <w:rPr>
                <w:rFonts w:ascii="思源黑体 CN Bold" w:hAnsi="思源黑体 CN Bold" w:eastAsia="思源黑体 CN Bold" w:cs="黑体"/>
                <w:w w:val="105"/>
                <w:sz w:val="17"/>
              </w:rPr>
              <w:t>部分核销及未核销，在期间结转时都会结转到新帐套</w:t>
            </w:r>
          </w:p>
          <w:p>
            <w:pPr>
              <w:pStyle w:val="35"/>
              <w:widowControl/>
              <w:spacing w:line="231" w:lineRule="exact"/>
              <w:ind w:left="93" w:right="72"/>
              <w:jc w:val="center"/>
              <w:rPr>
                <w:rFonts w:hint="default" w:ascii="思源黑体 CN Bold" w:hAnsi="思源黑体 CN Bold" w:eastAsia="思源黑体 CN Bold" w:cs="黑体"/>
                <w:sz w:val="17"/>
              </w:rPr>
            </w:pPr>
            <w:r>
              <w:rPr>
                <w:rFonts w:ascii="思源黑体 CN Bold" w:hAnsi="思源黑体 CN Bold" w:eastAsia="思源黑体 CN Bold" w:cs="黑体"/>
                <w:w w:val="105"/>
                <w:sz w:val="17"/>
              </w:rPr>
              <w:t>中，若没有执行后续业务，可以修改或删除单据</w:t>
            </w:r>
          </w:p>
        </w:tc>
      </w:tr>
      <w:tr>
        <w:tblPrEx>
          <w:tblBorders>
            <w:top w:val="single" w:color="FFFFFF" w:sz="6" w:space="0"/>
            <w:left w:val="single" w:color="FFFFFF" w:sz="6" w:space="0"/>
            <w:bottom w:val="single" w:color="FFFFFF" w:sz="6" w:space="0"/>
            <w:right w:val="single" w:color="FFFFFF" w:sz="6" w:space="0"/>
            <w:insideH w:val="single" w:color="FFFFFF" w:sz="6" w:space="0"/>
            <w:insideV w:val="single" w:color="FFFFF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810" w:type="dxa"/>
            <w:vMerge w:val="continue"/>
            <w:tcBorders>
              <w:top w:val="single" w:color="FFFFFF" w:sz="12" w:space="0"/>
              <w:left w:val="nil"/>
              <w:bottom w:val="single" w:color="FFFFFF" w:sz="12" w:space="0"/>
              <w:right w:val="single" w:color="FFFFFF" w:sz="12" w:space="0"/>
            </w:tcBorders>
            <w:shd w:val="clear" w:color="auto" w:fill="528DD4"/>
          </w:tcPr>
          <w:p>
            <w:pPr>
              <w:rPr>
                <w:rFonts w:ascii="思源黑体 CN Bold" w:hAnsi="思源黑体 CN Bold" w:eastAsia="思源黑体 CN Bold" w:cs="黑体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127" w:right="93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5"/>
                <w:sz w:val="17"/>
                <w:lang w:eastAsia="en-US"/>
              </w:rPr>
              <w:t>费用单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35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—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19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是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18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是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313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否</w:t>
            </w:r>
          </w:p>
        </w:tc>
        <w:tc>
          <w:tcPr>
            <w:tcW w:w="4586" w:type="dxa"/>
            <w:vMerge w:val="continue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rPr>
                <w:rFonts w:ascii="思源黑体 CN Bold" w:hAnsi="思源黑体 CN Bold" w:eastAsia="思源黑体 CN Bold" w:cs="黑体"/>
                <w:sz w:val="20"/>
                <w:szCs w:val="20"/>
              </w:rPr>
            </w:pPr>
          </w:p>
        </w:tc>
      </w:tr>
      <w:tr>
        <w:tblPrEx>
          <w:tblBorders>
            <w:top w:val="single" w:color="FFFFFF" w:sz="6" w:space="0"/>
            <w:left w:val="single" w:color="FFFFFF" w:sz="6" w:space="0"/>
            <w:bottom w:val="single" w:color="FFFFFF" w:sz="6" w:space="0"/>
            <w:right w:val="single" w:color="FFFFFF" w:sz="6" w:space="0"/>
            <w:insideH w:val="single" w:color="FFFFFF" w:sz="6" w:space="0"/>
            <w:insideV w:val="single" w:color="FFFFF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810" w:type="dxa"/>
            <w:vMerge w:val="continue"/>
            <w:tcBorders>
              <w:top w:val="single" w:color="FFFFFF" w:sz="12" w:space="0"/>
              <w:left w:val="nil"/>
              <w:bottom w:val="single" w:color="FFFFFF" w:sz="12" w:space="0"/>
              <w:right w:val="single" w:color="FFFFFF" w:sz="12" w:space="0"/>
            </w:tcBorders>
            <w:shd w:val="clear" w:color="auto" w:fill="528DD4"/>
          </w:tcPr>
          <w:p>
            <w:pPr>
              <w:rPr>
                <w:rFonts w:ascii="思源黑体 CN Bold" w:hAnsi="思源黑体 CN Bold" w:eastAsia="思源黑体 CN Bold" w:cs="黑体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127" w:right="93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5"/>
                <w:sz w:val="17"/>
                <w:lang w:eastAsia="en-US"/>
              </w:rPr>
              <w:t>银行存取款单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35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—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19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否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33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—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313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—</w:t>
            </w:r>
          </w:p>
        </w:tc>
        <w:tc>
          <w:tcPr>
            <w:tcW w:w="4586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rPr>
                <w:rFonts w:hint="default" w:ascii="思源黑体 CN Bold" w:hAnsi="思源黑体 CN Bold" w:eastAsia="思源黑体 CN Bold" w:cs="黑体"/>
                <w:sz w:val="16"/>
                <w:lang w:eastAsia="en-US"/>
              </w:rPr>
            </w:pPr>
          </w:p>
        </w:tc>
      </w:tr>
      <w:tr>
        <w:tblPrEx>
          <w:tblBorders>
            <w:top w:val="single" w:color="FFFFFF" w:sz="6" w:space="0"/>
            <w:left w:val="single" w:color="FFFFFF" w:sz="6" w:space="0"/>
            <w:bottom w:val="single" w:color="FFFFFF" w:sz="6" w:space="0"/>
            <w:right w:val="single" w:color="FFFFFF" w:sz="6" w:space="0"/>
            <w:insideH w:val="single" w:color="FFFFFF" w:sz="6" w:space="0"/>
            <w:insideV w:val="single" w:color="FFFFF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810" w:type="dxa"/>
            <w:vMerge w:val="restart"/>
            <w:tcBorders>
              <w:top w:val="single" w:color="FFFFFF" w:sz="12" w:space="0"/>
              <w:left w:val="nil"/>
              <w:bottom w:val="single" w:color="FFFFFF" w:sz="12" w:space="0"/>
              <w:right w:val="single" w:color="FFFFFF" w:sz="12" w:space="0"/>
            </w:tcBorders>
            <w:shd w:val="clear" w:color="auto" w:fill="528DD4"/>
          </w:tcPr>
          <w:p>
            <w:pPr>
              <w:pStyle w:val="35"/>
              <w:widowControl/>
              <w:spacing w:before="15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</w:p>
          <w:p>
            <w:pPr>
              <w:pStyle w:val="35"/>
              <w:widowControl/>
              <w:ind w:left="45"/>
              <w:rPr>
                <w:rFonts w:hint="default" w:ascii="思源黑体 CN Bold" w:hAnsi="思源黑体 CN Bold" w:eastAsia="思源黑体 CN Bold" w:cs="黑体"/>
                <w:b/>
                <w:i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b/>
                <w:i/>
                <w:color w:val="FFFFFF"/>
                <w:w w:val="105"/>
                <w:sz w:val="17"/>
                <w:lang w:eastAsia="en-US"/>
              </w:rPr>
              <w:t>出纳管理</w:t>
            </w:r>
          </w:p>
        </w:tc>
        <w:tc>
          <w:tcPr>
            <w:tcW w:w="154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127" w:right="93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5"/>
                <w:sz w:val="17"/>
                <w:lang w:eastAsia="en-US"/>
              </w:rPr>
              <w:t>现金盘点单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35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—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19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否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33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—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313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—</w:t>
            </w:r>
          </w:p>
        </w:tc>
        <w:tc>
          <w:tcPr>
            <w:tcW w:w="4586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rPr>
                <w:rFonts w:hint="default" w:ascii="思源黑体 CN Bold" w:hAnsi="思源黑体 CN Bold" w:eastAsia="思源黑体 CN Bold" w:cs="黑体"/>
                <w:sz w:val="16"/>
                <w:lang w:eastAsia="en-US"/>
              </w:rPr>
            </w:pPr>
          </w:p>
        </w:tc>
      </w:tr>
      <w:tr>
        <w:tblPrEx>
          <w:tblBorders>
            <w:top w:val="single" w:color="FFFFFF" w:sz="6" w:space="0"/>
            <w:left w:val="single" w:color="FFFFFF" w:sz="6" w:space="0"/>
            <w:bottom w:val="single" w:color="FFFFFF" w:sz="6" w:space="0"/>
            <w:right w:val="single" w:color="FFFFFF" w:sz="6" w:space="0"/>
            <w:insideH w:val="single" w:color="FFFFFF" w:sz="6" w:space="0"/>
            <w:insideV w:val="single" w:color="FFFFF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810" w:type="dxa"/>
            <w:vMerge w:val="continue"/>
            <w:tcBorders>
              <w:top w:val="single" w:color="FFFFFF" w:sz="12" w:space="0"/>
              <w:left w:val="nil"/>
              <w:bottom w:val="single" w:color="FFFFFF" w:sz="12" w:space="0"/>
              <w:right w:val="single" w:color="FFFFFF" w:sz="12" w:space="0"/>
            </w:tcBorders>
            <w:shd w:val="clear" w:color="auto" w:fill="528DD4"/>
          </w:tcPr>
          <w:p>
            <w:pPr>
              <w:rPr>
                <w:rFonts w:ascii="思源黑体 CN Bold" w:hAnsi="思源黑体 CN Bold" w:eastAsia="思源黑体 CN Bold" w:cs="黑体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127" w:right="93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5"/>
                <w:sz w:val="17"/>
                <w:lang w:eastAsia="en-US"/>
              </w:rPr>
              <w:t>现金银行日记账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35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—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19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否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33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—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313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—</w:t>
            </w:r>
          </w:p>
        </w:tc>
        <w:tc>
          <w:tcPr>
            <w:tcW w:w="4586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rPr>
                <w:rFonts w:hint="default" w:ascii="思源黑体 CN Bold" w:hAnsi="思源黑体 CN Bold" w:eastAsia="思源黑体 CN Bold" w:cs="黑体"/>
                <w:sz w:val="16"/>
                <w:lang w:eastAsia="en-US"/>
              </w:rPr>
            </w:pPr>
          </w:p>
        </w:tc>
      </w:tr>
      <w:tr>
        <w:tblPrEx>
          <w:tblBorders>
            <w:top w:val="single" w:color="FFFFFF" w:sz="6" w:space="0"/>
            <w:left w:val="single" w:color="FFFFFF" w:sz="6" w:space="0"/>
            <w:bottom w:val="single" w:color="FFFFFF" w:sz="6" w:space="0"/>
            <w:right w:val="single" w:color="FFFFFF" w:sz="6" w:space="0"/>
            <w:insideH w:val="single" w:color="FFFFFF" w:sz="6" w:space="0"/>
            <w:insideV w:val="single" w:color="FFFFF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810" w:type="dxa"/>
            <w:vMerge w:val="continue"/>
            <w:tcBorders>
              <w:top w:val="single" w:color="FFFFFF" w:sz="12" w:space="0"/>
              <w:left w:val="nil"/>
              <w:bottom w:val="single" w:color="FFFFFF" w:sz="12" w:space="0"/>
              <w:right w:val="single" w:color="FFFFFF" w:sz="12" w:space="0"/>
            </w:tcBorders>
            <w:shd w:val="clear" w:color="auto" w:fill="528DD4"/>
          </w:tcPr>
          <w:p>
            <w:pPr>
              <w:rPr>
                <w:rFonts w:ascii="思源黑体 CN Bold" w:hAnsi="思源黑体 CN Bold" w:eastAsia="思源黑体 CN Bold" w:cs="黑体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126" w:right="93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5"/>
                <w:sz w:val="17"/>
                <w:lang w:eastAsia="en-US"/>
              </w:rPr>
              <w:t>支票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35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—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34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—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33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—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313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—</w:t>
            </w:r>
          </w:p>
        </w:tc>
        <w:tc>
          <w:tcPr>
            <w:tcW w:w="4586" w:type="dxa"/>
            <w:vMerge w:val="restart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33" w:lineRule="exact"/>
              <w:ind w:left="93" w:right="72"/>
              <w:jc w:val="center"/>
              <w:rPr>
                <w:rFonts w:hint="default" w:ascii="思源黑体 CN Bold" w:hAnsi="思源黑体 CN Bold" w:eastAsia="思源黑体 CN Bold" w:cs="黑体"/>
                <w:sz w:val="17"/>
              </w:rPr>
            </w:pPr>
            <w:r>
              <w:rPr>
                <w:rFonts w:ascii="思源黑体 CN Bold" w:hAnsi="思源黑体 CN Bold" w:eastAsia="思源黑体 CN Bold" w:cs="黑体"/>
                <w:w w:val="105"/>
                <w:sz w:val="17"/>
              </w:rPr>
              <w:t>未使用、领用、报销的支票本和支票均可结转，作废的</w:t>
            </w:r>
          </w:p>
          <w:p>
            <w:pPr>
              <w:pStyle w:val="35"/>
              <w:widowControl/>
              <w:spacing w:line="231" w:lineRule="exact"/>
              <w:ind w:left="90" w:right="72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5"/>
                <w:sz w:val="17"/>
                <w:lang w:eastAsia="en-US"/>
              </w:rPr>
              <w:t>支票也会结转</w:t>
            </w:r>
          </w:p>
        </w:tc>
      </w:tr>
      <w:tr>
        <w:tblPrEx>
          <w:tblBorders>
            <w:top w:val="single" w:color="FFFFFF" w:sz="6" w:space="0"/>
            <w:left w:val="single" w:color="FFFFFF" w:sz="6" w:space="0"/>
            <w:bottom w:val="single" w:color="FFFFFF" w:sz="6" w:space="0"/>
            <w:right w:val="single" w:color="FFFFFF" w:sz="6" w:space="0"/>
            <w:insideH w:val="single" w:color="FFFFFF" w:sz="6" w:space="0"/>
            <w:insideV w:val="single" w:color="FFFFF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810" w:type="dxa"/>
            <w:vMerge w:val="continue"/>
            <w:tcBorders>
              <w:top w:val="single" w:color="FFFFFF" w:sz="12" w:space="0"/>
              <w:left w:val="nil"/>
              <w:bottom w:val="single" w:color="FFFFFF" w:sz="12" w:space="0"/>
              <w:right w:val="single" w:color="FFFFFF" w:sz="12" w:space="0"/>
            </w:tcBorders>
            <w:shd w:val="clear" w:color="auto" w:fill="528DD4"/>
          </w:tcPr>
          <w:p>
            <w:pPr>
              <w:rPr>
                <w:rFonts w:ascii="思源黑体 CN Bold" w:hAnsi="思源黑体 CN Bold" w:eastAsia="思源黑体 CN Bold" w:cs="黑体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127" w:right="93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5"/>
                <w:sz w:val="17"/>
                <w:lang w:eastAsia="en-US"/>
              </w:rPr>
              <w:t>支票本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35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—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34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—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33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—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313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—</w:t>
            </w:r>
          </w:p>
        </w:tc>
        <w:tc>
          <w:tcPr>
            <w:tcW w:w="4586" w:type="dxa"/>
            <w:vMerge w:val="continue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rPr>
                <w:rFonts w:ascii="思源黑体 CN Bold" w:hAnsi="思源黑体 CN Bold" w:eastAsia="思源黑体 CN Bold" w:cs="黑体"/>
                <w:sz w:val="20"/>
                <w:szCs w:val="20"/>
              </w:rPr>
            </w:pPr>
          </w:p>
        </w:tc>
      </w:tr>
      <w:tr>
        <w:tblPrEx>
          <w:tblBorders>
            <w:top w:val="single" w:color="FFFFFF" w:sz="6" w:space="0"/>
            <w:left w:val="single" w:color="FFFFFF" w:sz="6" w:space="0"/>
            <w:bottom w:val="single" w:color="FFFFFF" w:sz="6" w:space="0"/>
            <w:right w:val="single" w:color="FFFFFF" w:sz="6" w:space="0"/>
            <w:insideH w:val="single" w:color="FFFFFF" w:sz="6" w:space="0"/>
            <w:insideV w:val="single" w:color="FFFFF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810" w:type="dxa"/>
            <w:vMerge w:val="restart"/>
            <w:tcBorders>
              <w:top w:val="single" w:color="FFFFFF" w:sz="12" w:space="0"/>
              <w:left w:val="nil"/>
              <w:bottom w:val="single" w:color="FFFFFF" w:sz="12" w:space="0"/>
              <w:right w:val="single" w:color="FFFFFF" w:sz="12" w:space="0"/>
            </w:tcBorders>
            <w:shd w:val="clear" w:color="auto" w:fill="528DD4"/>
          </w:tcPr>
          <w:p>
            <w:pPr>
              <w:pStyle w:val="35"/>
              <w:widowControl/>
              <w:spacing w:before="15"/>
              <w:rPr>
                <w:rFonts w:hint="default" w:ascii="思源黑体 CN Bold" w:hAnsi="思源黑体 CN Bold" w:eastAsia="思源黑体 CN Bold" w:cs="黑体"/>
                <w:sz w:val="10"/>
                <w:lang w:eastAsia="en-US"/>
              </w:rPr>
            </w:pPr>
          </w:p>
          <w:p>
            <w:pPr>
              <w:pStyle w:val="35"/>
              <w:widowControl/>
              <w:ind w:left="45"/>
              <w:rPr>
                <w:rFonts w:hint="default" w:ascii="思源黑体 CN Bold" w:hAnsi="思源黑体 CN Bold" w:eastAsia="思源黑体 CN Bold" w:cs="黑体"/>
                <w:b/>
                <w:i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b/>
                <w:i/>
                <w:color w:val="FFFFFF"/>
                <w:w w:val="105"/>
                <w:sz w:val="17"/>
                <w:lang w:eastAsia="en-US"/>
              </w:rPr>
              <w:t>采购管理</w:t>
            </w:r>
          </w:p>
        </w:tc>
        <w:tc>
          <w:tcPr>
            <w:tcW w:w="154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before="82"/>
              <w:ind w:left="127" w:right="93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5"/>
                <w:sz w:val="17"/>
                <w:lang w:eastAsia="en-US"/>
              </w:rPr>
              <w:t>采购订单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before="82"/>
              <w:ind w:left="21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是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before="82"/>
              <w:ind w:left="19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是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before="82"/>
              <w:ind w:left="18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是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before="82"/>
              <w:ind w:left="313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是</w:t>
            </w:r>
          </w:p>
        </w:tc>
        <w:tc>
          <w:tcPr>
            <w:tcW w:w="4586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33" w:lineRule="exact"/>
              <w:ind w:left="93" w:right="72"/>
              <w:jc w:val="center"/>
              <w:rPr>
                <w:rFonts w:hint="default" w:ascii="思源黑体 CN Bold" w:hAnsi="思源黑体 CN Bold" w:eastAsia="思源黑体 CN Bold" w:cs="黑体"/>
                <w:sz w:val="17"/>
              </w:rPr>
            </w:pPr>
            <w:r>
              <w:rPr>
                <w:rFonts w:ascii="思源黑体 CN Bold" w:hAnsi="思源黑体 CN Bold" w:eastAsia="思源黑体 CN Bold" w:cs="黑体"/>
                <w:w w:val="105"/>
                <w:sz w:val="17"/>
              </w:rPr>
              <w:t>全部执行完（采购订单—进货—付款）还会结转到期初</w:t>
            </w:r>
          </w:p>
          <w:p>
            <w:pPr>
              <w:pStyle w:val="35"/>
              <w:widowControl/>
              <w:spacing w:line="220" w:lineRule="exact"/>
              <w:ind w:left="90" w:right="72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5"/>
                <w:sz w:val="17"/>
                <w:lang w:eastAsia="en-US"/>
              </w:rPr>
              <w:t>进货单</w:t>
            </w:r>
          </w:p>
        </w:tc>
      </w:tr>
      <w:tr>
        <w:tblPrEx>
          <w:tblBorders>
            <w:top w:val="single" w:color="FFFFFF" w:sz="6" w:space="0"/>
            <w:left w:val="single" w:color="FFFFFF" w:sz="6" w:space="0"/>
            <w:bottom w:val="single" w:color="FFFFFF" w:sz="6" w:space="0"/>
            <w:right w:val="single" w:color="FFFFFF" w:sz="6" w:space="0"/>
            <w:insideH w:val="single" w:color="FFFFFF" w:sz="6" w:space="0"/>
            <w:insideV w:val="single" w:color="FFFFF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810" w:type="dxa"/>
            <w:vMerge w:val="continue"/>
            <w:tcBorders>
              <w:top w:val="single" w:color="FFFFFF" w:sz="12" w:space="0"/>
              <w:left w:val="nil"/>
              <w:bottom w:val="single" w:color="FFFFFF" w:sz="12" w:space="0"/>
              <w:right w:val="single" w:color="FFFFFF" w:sz="12" w:space="0"/>
            </w:tcBorders>
            <w:shd w:val="clear" w:color="auto" w:fill="528DD4"/>
          </w:tcPr>
          <w:p>
            <w:pPr>
              <w:rPr>
                <w:rFonts w:ascii="思源黑体 CN Bold" w:hAnsi="思源黑体 CN Bold" w:eastAsia="思源黑体 CN Bold" w:cs="黑体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127" w:right="93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5"/>
                <w:sz w:val="17"/>
                <w:lang w:eastAsia="en-US"/>
              </w:rPr>
              <w:t>进货单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35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—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19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是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18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是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313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是</w:t>
            </w:r>
          </w:p>
        </w:tc>
        <w:tc>
          <w:tcPr>
            <w:tcW w:w="4586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right="152"/>
              <w:jc w:val="right"/>
              <w:rPr>
                <w:rFonts w:hint="default" w:ascii="思源黑体 CN Bold" w:hAnsi="思源黑体 CN Bold" w:eastAsia="思源黑体 CN Bold" w:cs="黑体"/>
                <w:sz w:val="17"/>
              </w:rPr>
            </w:pPr>
            <w:r>
              <w:rPr>
                <w:rFonts w:ascii="思源黑体 CN Bold" w:hAnsi="思源黑体 CN Bold" w:eastAsia="思源黑体 CN Bold" w:cs="黑体"/>
                <w:w w:val="105"/>
                <w:sz w:val="17"/>
              </w:rPr>
              <w:t>全部执行完（进货—付款）还会结转到期初进货单</w:t>
            </w:r>
          </w:p>
        </w:tc>
      </w:tr>
      <w:tr>
        <w:tblPrEx>
          <w:tblBorders>
            <w:top w:val="single" w:color="FFFFFF" w:sz="6" w:space="0"/>
            <w:left w:val="single" w:color="FFFFFF" w:sz="6" w:space="0"/>
            <w:bottom w:val="single" w:color="FFFFFF" w:sz="6" w:space="0"/>
            <w:right w:val="single" w:color="FFFFFF" w:sz="6" w:space="0"/>
            <w:insideH w:val="single" w:color="FFFFFF" w:sz="6" w:space="0"/>
            <w:insideV w:val="single" w:color="FFFFF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810" w:type="dxa"/>
            <w:vMerge w:val="restart"/>
            <w:tcBorders>
              <w:top w:val="single" w:color="FFFFFF" w:sz="12" w:space="0"/>
              <w:left w:val="nil"/>
              <w:bottom w:val="single" w:color="FFFFFF" w:sz="12" w:space="0"/>
              <w:right w:val="single" w:color="FFFFFF" w:sz="12" w:space="0"/>
            </w:tcBorders>
            <w:shd w:val="clear" w:color="auto" w:fill="528DD4"/>
          </w:tcPr>
          <w:p>
            <w:pPr>
              <w:pStyle w:val="35"/>
              <w:widowControl/>
              <w:spacing w:before="15"/>
              <w:rPr>
                <w:rFonts w:hint="default" w:ascii="思源黑体 CN Bold" w:hAnsi="思源黑体 CN Bold" w:eastAsia="思源黑体 CN Bold" w:cs="黑体"/>
                <w:sz w:val="10"/>
              </w:rPr>
            </w:pPr>
          </w:p>
          <w:p>
            <w:pPr>
              <w:pStyle w:val="35"/>
              <w:widowControl/>
              <w:ind w:left="45"/>
              <w:rPr>
                <w:rFonts w:hint="default" w:ascii="思源黑体 CN Bold" w:hAnsi="思源黑体 CN Bold" w:eastAsia="思源黑体 CN Bold" w:cs="黑体"/>
                <w:b/>
                <w:i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b/>
                <w:i/>
                <w:color w:val="FFFFFF"/>
                <w:w w:val="105"/>
                <w:sz w:val="17"/>
                <w:lang w:eastAsia="en-US"/>
              </w:rPr>
              <w:t>销售管理</w:t>
            </w:r>
          </w:p>
        </w:tc>
        <w:tc>
          <w:tcPr>
            <w:tcW w:w="154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127" w:right="93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5"/>
                <w:sz w:val="17"/>
                <w:lang w:eastAsia="en-US"/>
              </w:rPr>
              <w:t>销售订单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21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是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19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是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18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是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313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否</w:t>
            </w:r>
          </w:p>
        </w:tc>
        <w:tc>
          <w:tcPr>
            <w:tcW w:w="4586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right="153"/>
              <w:jc w:val="right"/>
              <w:rPr>
                <w:rFonts w:hint="default" w:ascii="思源黑体 CN Bold" w:hAnsi="思源黑体 CN Bold" w:eastAsia="思源黑体 CN Bold" w:cs="黑体"/>
                <w:sz w:val="17"/>
              </w:rPr>
            </w:pPr>
            <w:r>
              <w:rPr>
                <w:rFonts w:ascii="思源黑体 CN Bold" w:hAnsi="思源黑体 CN Bold" w:eastAsia="思源黑体 CN Bold" w:cs="黑体"/>
                <w:w w:val="105"/>
                <w:sz w:val="17"/>
              </w:rPr>
              <w:t>订单-销货单-收款单，这个流程全部走完,就不会结转</w:t>
            </w:r>
          </w:p>
        </w:tc>
      </w:tr>
      <w:tr>
        <w:tblPrEx>
          <w:tblBorders>
            <w:top w:val="single" w:color="FFFFFF" w:sz="6" w:space="0"/>
            <w:left w:val="single" w:color="FFFFFF" w:sz="6" w:space="0"/>
            <w:bottom w:val="single" w:color="FFFFFF" w:sz="6" w:space="0"/>
            <w:right w:val="single" w:color="FFFFFF" w:sz="6" w:space="0"/>
            <w:insideH w:val="single" w:color="FFFFFF" w:sz="6" w:space="0"/>
            <w:insideV w:val="single" w:color="FFFFF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810" w:type="dxa"/>
            <w:vMerge w:val="continue"/>
            <w:tcBorders>
              <w:top w:val="single" w:color="FFFFFF" w:sz="12" w:space="0"/>
              <w:left w:val="nil"/>
              <w:bottom w:val="single" w:color="FFFFFF" w:sz="12" w:space="0"/>
              <w:right w:val="single" w:color="FFFFFF" w:sz="12" w:space="0"/>
            </w:tcBorders>
            <w:shd w:val="clear" w:color="auto" w:fill="528DD4"/>
          </w:tcPr>
          <w:p>
            <w:pPr>
              <w:rPr>
                <w:rFonts w:ascii="思源黑体 CN Bold" w:hAnsi="思源黑体 CN Bold" w:eastAsia="思源黑体 CN Bold" w:cs="黑体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before="82"/>
              <w:ind w:left="127" w:right="93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5"/>
                <w:sz w:val="17"/>
                <w:lang w:eastAsia="en-US"/>
              </w:rPr>
              <w:t>销货单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before="82"/>
              <w:ind w:left="35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—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before="82"/>
              <w:ind w:left="19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是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before="82"/>
              <w:ind w:left="18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是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before="82"/>
              <w:ind w:left="313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否</w:t>
            </w:r>
          </w:p>
        </w:tc>
        <w:tc>
          <w:tcPr>
            <w:tcW w:w="4586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33" w:lineRule="exact"/>
              <w:ind w:left="71" w:right="39"/>
              <w:jc w:val="center"/>
              <w:rPr>
                <w:rFonts w:hint="default" w:ascii="思源黑体 CN Bold" w:hAnsi="思源黑体 CN Bold" w:eastAsia="思源黑体 CN Bold" w:cs="黑体"/>
                <w:sz w:val="17"/>
              </w:rPr>
            </w:pPr>
            <w:r>
              <w:rPr>
                <w:rFonts w:ascii="思源黑体 CN Bold" w:hAnsi="思源黑体 CN Bold" w:eastAsia="思源黑体 CN Bold" w:cs="黑体"/>
                <w:w w:val="105"/>
                <w:sz w:val="17"/>
              </w:rPr>
              <w:t>销货单-收款单，这个流程全部走完,就不会结转到期初销</w:t>
            </w:r>
          </w:p>
          <w:p>
            <w:pPr>
              <w:pStyle w:val="35"/>
              <w:widowControl/>
              <w:spacing w:line="220" w:lineRule="exact"/>
              <w:ind w:left="96" w:right="56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5"/>
                <w:sz w:val="17"/>
                <w:lang w:eastAsia="en-US"/>
              </w:rPr>
              <w:t>货单</w:t>
            </w:r>
          </w:p>
        </w:tc>
      </w:tr>
      <w:tr>
        <w:tblPrEx>
          <w:tblBorders>
            <w:top w:val="single" w:color="FFFFFF" w:sz="6" w:space="0"/>
            <w:left w:val="single" w:color="FFFFFF" w:sz="6" w:space="0"/>
            <w:bottom w:val="single" w:color="FFFFFF" w:sz="6" w:space="0"/>
            <w:right w:val="single" w:color="FFFFFF" w:sz="6" w:space="0"/>
            <w:insideH w:val="single" w:color="FFFFFF" w:sz="6" w:space="0"/>
            <w:insideV w:val="single" w:color="FFFFF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810" w:type="dxa"/>
            <w:vMerge w:val="restart"/>
            <w:tcBorders>
              <w:top w:val="single" w:color="FFFFFF" w:sz="12" w:space="0"/>
              <w:left w:val="nil"/>
              <w:bottom w:val="nil"/>
              <w:right w:val="single" w:color="FFFFFF" w:sz="12" w:space="0"/>
            </w:tcBorders>
            <w:shd w:val="clear" w:color="auto" w:fill="528DD4"/>
          </w:tcPr>
          <w:p>
            <w:pPr>
              <w:pStyle w:val="35"/>
              <w:widowControl/>
              <w:rPr>
                <w:rFonts w:hint="default" w:ascii="思源黑体 CN Bold" w:hAnsi="思源黑体 CN Bold" w:eastAsia="思源黑体 CN Bold" w:cs="黑体"/>
                <w:lang w:eastAsia="en-US"/>
              </w:rPr>
            </w:pPr>
          </w:p>
          <w:p>
            <w:pPr>
              <w:pStyle w:val="35"/>
              <w:widowControl/>
              <w:spacing w:before="13"/>
              <w:rPr>
                <w:rFonts w:hint="default" w:ascii="思源黑体 CN Bold" w:hAnsi="思源黑体 CN Bold" w:eastAsia="思源黑体 CN Bold" w:cs="黑体"/>
                <w:sz w:val="23"/>
                <w:lang w:eastAsia="en-US"/>
              </w:rPr>
            </w:pPr>
          </w:p>
          <w:p>
            <w:pPr>
              <w:pStyle w:val="35"/>
              <w:widowControl/>
              <w:ind w:left="45"/>
              <w:rPr>
                <w:rFonts w:hint="default" w:ascii="思源黑体 CN Bold" w:hAnsi="思源黑体 CN Bold" w:eastAsia="思源黑体 CN Bold" w:cs="黑体"/>
                <w:b/>
                <w:i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b/>
                <w:i/>
                <w:color w:val="FFFFFF"/>
                <w:w w:val="105"/>
                <w:sz w:val="17"/>
                <w:lang w:eastAsia="en-US"/>
              </w:rPr>
              <w:t>库存核算</w:t>
            </w:r>
          </w:p>
        </w:tc>
        <w:tc>
          <w:tcPr>
            <w:tcW w:w="154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127" w:right="93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5"/>
                <w:sz w:val="17"/>
                <w:lang w:eastAsia="en-US"/>
              </w:rPr>
              <w:t>产成品入库单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35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—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19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否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33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—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313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否</w:t>
            </w:r>
          </w:p>
        </w:tc>
        <w:tc>
          <w:tcPr>
            <w:tcW w:w="4586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rPr>
                <w:rFonts w:hint="default" w:ascii="思源黑体 CN Bold" w:hAnsi="思源黑体 CN Bold" w:eastAsia="思源黑体 CN Bold" w:cs="黑体"/>
                <w:sz w:val="16"/>
                <w:lang w:eastAsia="en-US"/>
              </w:rPr>
            </w:pPr>
          </w:p>
        </w:tc>
      </w:tr>
      <w:tr>
        <w:tblPrEx>
          <w:tblBorders>
            <w:top w:val="single" w:color="FFFFFF" w:sz="6" w:space="0"/>
            <w:left w:val="single" w:color="FFFFFF" w:sz="6" w:space="0"/>
            <w:bottom w:val="single" w:color="FFFFFF" w:sz="6" w:space="0"/>
            <w:right w:val="single" w:color="FFFFFF" w:sz="6" w:space="0"/>
            <w:insideH w:val="single" w:color="FFFFFF" w:sz="6" w:space="0"/>
            <w:insideV w:val="single" w:color="FFFFF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810" w:type="dxa"/>
            <w:vMerge w:val="continue"/>
            <w:tcBorders>
              <w:top w:val="single" w:color="FFFFFF" w:sz="12" w:space="0"/>
              <w:left w:val="nil"/>
              <w:bottom w:val="nil"/>
              <w:right w:val="single" w:color="FFFFFF" w:sz="12" w:space="0"/>
            </w:tcBorders>
            <w:shd w:val="clear" w:color="auto" w:fill="528DD4"/>
          </w:tcPr>
          <w:p>
            <w:pPr>
              <w:rPr>
                <w:rFonts w:ascii="思源黑体 CN Bold" w:hAnsi="思源黑体 CN Bold" w:eastAsia="思源黑体 CN Bold" w:cs="黑体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127" w:right="93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5"/>
                <w:sz w:val="17"/>
                <w:lang w:eastAsia="en-US"/>
              </w:rPr>
              <w:t>其他入库单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35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—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19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否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33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—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313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否</w:t>
            </w:r>
          </w:p>
        </w:tc>
        <w:tc>
          <w:tcPr>
            <w:tcW w:w="4586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rPr>
                <w:rFonts w:hint="default" w:ascii="思源黑体 CN Bold" w:hAnsi="思源黑体 CN Bold" w:eastAsia="思源黑体 CN Bold" w:cs="黑体"/>
                <w:sz w:val="16"/>
                <w:lang w:eastAsia="en-US"/>
              </w:rPr>
            </w:pPr>
          </w:p>
        </w:tc>
      </w:tr>
      <w:tr>
        <w:tblPrEx>
          <w:tblBorders>
            <w:top w:val="single" w:color="FFFFFF" w:sz="6" w:space="0"/>
            <w:left w:val="single" w:color="FFFFFF" w:sz="6" w:space="0"/>
            <w:bottom w:val="single" w:color="FFFFFF" w:sz="6" w:space="0"/>
            <w:right w:val="single" w:color="FFFFFF" w:sz="6" w:space="0"/>
            <w:insideH w:val="single" w:color="FFFFFF" w:sz="6" w:space="0"/>
            <w:insideV w:val="single" w:color="FFFFF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810" w:type="dxa"/>
            <w:vMerge w:val="continue"/>
            <w:tcBorders>
              <w:top w:val="single" w:color="FFFFFF" w:sz="12" w:space="0"/>
              <w:left w:val="nil"/>
              <w:bottom w:val="nil"/>
              <w:right w:val="single" w:color="FFFFFF" w:sz="12" w:space="0"/>
            </w:tcBorders>
            <w:shd w:val="clear" w:color="auto" w:fill="528DD4"/>
          </w:tcPr>
          <w:p>
            <w:pPr>
              <w:rPr>
                <w:rFonts w:ascii="思源黑体 CN Bold" w:hAnsi="思源黑体 CN Bold" w:eastAsia="思源黑体 CN Bold" w:cs="黑体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127" w:right="93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5"/>
                <w:sz w:val="17"/>
                <w:lang w:eastAsia="en-US"/>
              </w:rPr>
              <w:t>其它出库单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35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—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19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否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33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—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313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否</w:t>
            </w:r>
          </w:p>
        </w:tc>
        <w:tc>
          <w:tcPr>
            <w:tcW w:w="4586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rPr>
                <w:rFonts w:hint="default" w:ascii="思源黑体 CN Bold" w:hAnsi="思源黑体 CN Bold" w:eastAsia="思源黑体 CN Bold" w:cs="黑体"/>
                <w:sz w:val="16"/>
                <w:lang w:eastAsia="en-US"/>
              </w:rPr>
            </w:pPr>
          </w:p>
        </w:tc>
      </w:tr>
      <w:tr>
        <w:tblPrEx>
          <w:tblBorders>
            <w:top w:val="single" w:color="FFFFFF" w:sz="6" w:space="0"/>
            <w:left w:val="single" w:color="FFFFFF" w:sz="6" w:space="0"/>
            <w:bottom w:val="single" w:color="FFFFFF" w:sz="6" w:space="0"/>
            <w:right w:val="single" w:color="FFFFFF" w:sz="6" w:space="0"/>
            <w:insideH w:val="single" w:color="FFFFFF" w:sz="6" w:space="0"/>
            <w:insideV w:val="single" w:color="FFFFF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810" w:type="dxa"/>
            <w:vMerge w:val="continue"/>
            <w:tcBorders>
              <w:top w:val="single" w:color="FFFFFF" w:sz="12" w:space="0"/>
              <w:left w:val="nil"/>
              <w:bottom w:val="nil"/>
              <w:right w:val="single" w:color="FFFFFF" w:sz="12" w:space="0"/>
            </w:tcBorders>
            <w:shd w:val="clear" w:color="auto" w:fill="528DD4"/>
          </w:tcPr>
          <w:p>
            <w:pPr>
              <w:rPr>
                <w:rFonts w:ascii="思源黑体 CN Bold" w:hAnsi="思源黑体 CN Bold" w:eastAsia="思源黑体 CN Bold" w:cs="黑体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127" w:right="93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5"/>
                <w:sz w:val="17"/>
                <w:lang w:eastAsia="en-US"/>
              </w:rPr>
              <w:t>调拨单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35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—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19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否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33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—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313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否</w:t>
            </w:r>
          </w:p>
        </w:tc>
        <w:tc>
          <w:tcPr>
            <w:tcW w:w="4586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rPr>
                <w:rFonts w:hint="default" w:ascii="思源黑体 CN Bold" w:hAnsi="思源黑体 CN Bold" w:eastAsia="思源黑体 CN Bold" w:cs="黑体"/>
                <w:sz w:val="16"/>
                <w:lang w:eastAsia="en-US"/>
              </w:rPr>
            </w:pPr>
          </w:p>
        </w:tc>
      </w:tr>
      <w:tr>
        <w:tblPrEx>
          <w:tblBorders>
            <w:top w:val="single" w:color="FFFFFF" w:sz="6" w:space="0"/>
            <w:left w:val="single" w:color="FFFFFF" w:sz="6" w:space="0"/>
            <w:bottom w:val="single" w:color="FFFFFF" w:sz="6" w:space="0"/>
            <w:right w:val="single" w:color="FFFFFF" w:sz="6" w:space="0"/>
            <w:insideH w:val="single" w:color="FFFFFF" w:sz="6" w:space="0"/>
            <w:insideV w:val="single" w:color="FFFFF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810" w:type="dxa"/>
            <w:vMerge w:val="continue"/>
            <w:tcBorders>
              <w:top w:val="single" w:color="FFFFFF" w:sz="12" w:space="0"/>
              <w:left w:val="nil"/>
              <w:bottom w:val="nil"/>
              <w:right w:val="single" w:color="FFFFFF" w:sz="12" w:space="0"/>
            </w:tcBorders>
            <w:shd w:val="clear" w:color="auto" w:fill="528DD4"/>
          </w:tcPr>
          <w:p>
            <w:pPr>
              <w:rPr>
                <w:rFonts w:ascii="思源黑体 CN Bold" w:hAnsi="思源黑体 CN Bold" w:eastAsia="思源黑体 CN Bold" w:cs="黑体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127" w:right="93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5"/>
                <w:sz w:val="17"/>
                <w:lang w:eastAsia="en-US"/>
              </w:rPr>
              <w:t>盘点单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35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—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19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否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33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—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313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否</w:t>
            </w:r>
          </w:p>
        </w:tc>
        <w:tc>
          <w:tcPr>
            <w:tcW w:w="4586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rPr>
                <w:rFonts w:hint="default" w:ascii="思源黑体 CN Bold" w:hAnsi="思源黑体 CN Bold" w:eastAsia="思源黑体 CN Bold" w:cs="黑体"/>
                <w:sz w:val="16"/>
                <w:lang w:eastAsia="en-US"/>
              </w:rPr>
            </w:pPr>
          </w:p>
        </w:tc>
      </w:tr>
      <w:tr>
        <w:tblPrEx>
          <w:tblBorders>
            <w:top w:val="single" w:color="FFFFFF" w:sz="6" w:space="0"/>
            <w:left w:val="single" w:color="FFFFFF" w:sz="6" w:space="0"/>
            <w:bottom w:val="single" w:color="FFFFFF" w:sz="6" w:space="0"/>
            <w:right w:val="single" w:color="FFFFFF" w:sz="6" w:space="0"/>
            <w:insideH w:val="single" w:color="FFFFFF" w:sz="6" w:space="0"/>
            <w:insideV w:val="single" w:color="FFFFF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810" w:type="dxa"/>
            <w:vMerge w:val="continue"/>
            <w:tcBorders>
              <w:top w:val="single" w:color="FFFFFF" w:sz="12" w:space="0"/>
              <w:left w:val="nil"/>
              <w:bottom w:val="nil"/>
              <w:right w:val="single" w:color="FFFFFF" w:sz="12" w:space="0"/>
            </w:tcBorders>
            <w:shd w:val="clear" w:color="auto" w:fill="528DD4"/>
          </w:tcPr>
          <w:p>
            <w:pPr>
              <w:rPr>
                <w:rFonts w:ascii="思源黑体 CN Bold" w:hAnsi="思源黑体 CN Bold" w:eastAsia="思源黑体 CN Bold" w:cs="黑体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127" w:right="93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5"/>
                <w:sz w:val="17"/>
                <w:lang w:eastAsia="en-US"/>
              </w:rPr>
              <w:t>出库调整单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35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—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34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—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33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—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313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否</w:t>
            </w:r>
          </w:p>
        </w:tc>
        <w:tc>
          <w:tcPr>
            <w:tcW w:w="4586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rPr>
                <w:rFonts w:hint="default" w:ascii="思源黑体 CN Bold" w:hAnsi="思源黑体 CN Bold" w:eastAsia="思源黑体 CN Bold" w:cs="黑体"/>
                <w:sz w:val="16"/>
                <w:lang w:eastAsia="en-US"/>
              </w:rPr>
            </w:pPr>
          </w:p>
        </w:tc>
      </w:tr>
      <w:tr>
        <w:tblPrEx>
          <w:tblBorders>
            <w:top w:val="single" w:color="FFFFFF" w:sz="6" w:space="0"/>
            <w:left w:val="single" w:color="FFFFFF" w:sz="6" w:space="0"/>
            <w:bottom w:val="single" w:color="FFFFFF" w:sz="6" w:space="0"/>
            <w:right w:val="single" w:color="FFFFFF" w:sz="6" w:space="0"/>
            <w:insideH w:val="single" w:color="FFFFFF" w:sz="6" w:space="0"/>
            <w:insideV w:val="single" w:color="FFFFF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810" w:type="dxa"/>
            <w:vMerge w:val="continue"/>
            <w:tcBorders>
              <w:top w:val="single" w:color="FFFFFF" w:sz="12" w:space="0"/>
              <w:left w:val="nil"/>
              <w:bottom w:val="nil"/>
              <w:right w:val="single" w:color="FFFFFF" w:sz="12" w:space="0"/>
            </w:tcBorders>
            <w:shd w:val="clear" w:color="auto" w:fill="528DD4"/>
          </w:tcPr>
          <w:p>
            <w:pPr>
              <w:rPr>
                <w:rFonts w:ascii="思源黑体 CN Bold" w:hAnsi="思源黑体 CN Bold" w:eastAsia="思源黑体 CN Bold" w:cs="黑体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127" w:right="93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5"/>
                <w:sz w:val="17"/>
                <w:lang w:eastAsia="en-US"/>
              </w:rPr>
              <w:t>盘点单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35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—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34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—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33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—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313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否</w:t>
            </w:r>
          </w:p>
        </w:tc>
        <w:tc>
          <w:tcPr>
            <w:tcW w:w="4586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rPr>
                <w:rFonts w:hint="default" w:ascii="思源黑体 CN Bold" w:hAnsi="思源黑体 CN Bold" w:eastAsia="思源黑体 CN Bold" w:cs="黑体"/>
                <w:sz w:val="16"/>
                <w:lang w:eastAsia="en-US"/>
              </w:rPr>
            </w:pPr>
          </w:p>
        </w:tc>
      </w:tr>
      <w:tr>
        <w:tblPrEx>
          <w:tblBorders>
            <w:top w:val="single" w:color="FFFFFF" w:sz="6" w:space="0"/>
            <w:left w:val="single" w:color="FFFFFF" w:sz="6" w:space="0"/>
            <w:bottom w:val="single" w:color="FFFFFF" w:sz="6" w:space="0"/>
            <w:right w:val="single" w:color="FFFFFF" w:sz="6" w:space="0"/>
            <w:insideH w:val="single" w:color="FFFFFF" w:sz="6" w:space="0"/>
            <w:insideV w:val="single" w:color="FFFFFF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810" w:type="dxa"/>
            <w:vMerge w:val="continue"/>
            <w:tcBorders>
              <w:top w:val="single" w:color="FFFFFF" w:sz="12" w:space="0"/>
              <w:left w:val="nil"/>
              <w:bottom w:val="nil"/>
              <w:right w:val="single" w:color="FFFFFF" w:sz="12" w:space="0"/>
            </w:tcBorders>
            <w:shd w:val="clear" w:color="auto" w:fill="528DD4"/>
          </w:tcPr>
          <w:p>
            <w:pPr>
              <w:rPr>
                <w:rFonts w:ascii="思源黑体 CN Bold" w:hAnsi="思源黑体 CN Bold" w:eastAsia="思源黑体 CN Bold" w:cs="黑体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127" w:right="93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5"/>
                <w:sz w:val="17"/>
                <w:lang w:eastAsia="en-US"/>
              </w:rPr>
              <w:t>组装拆卸单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35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—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34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—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33"/>
              <w:jc w:val="center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—</w:t>
            </w:r>
          </w:p>
        </w:tc>
        <w:tc>
          <w:tcPr>
            <w:tcW w:w="82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spacing w:line="207" w:lineRule="exact"/>
              <w:ind w:left="313"/>
              <w:rPr>
                <w:rFonts w:hint="default" w:ascii="思源黑体 CN Bold" w:hAnsi="思源黑体 CN Bold" w:eastAsia="思源黑体 CN Bold" w:cs="黑体"/>
                <w:sz w:val="17"/>
                <w:lang w:eastAsia="en-US"/>
              </w:rPr>
            </w:pPr>
            <w:r>
              <w:rPr>
                <w:rFonts w:ascii="思源黑体 CN Bold" w:hAnsi="思源黑体 CN Bold" w:eastAsia="思源黑体 CN Bold" w:cs="黑体"/>
                <w:w w:val="107"/>
                <w:sz w:val="17"/>
                <w:lang w:eastAsia="en-US"/>
              </w:rPr>
              <w:t>否</w:t>
            </w:r>
          </w:p>
        </w:tc>
        <w:tc>
          <w:tcPr>
            <w:tcW w:w="4586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DCE6F0"/>
          </w:tcPr>
          <w:p>
            <w:pPr>
              <w:pStyle w:val="35"/>
              <w:widowControl/>
              <w:rPr>
                <w:rFonts w:hint="default" w:ascii="思源黑体 CN Bold" w:hAnsi="思源黑体 CN Bold" w:eastAsia="思源黑体 CN Bold" w:cs="黑体"/>
                <w:sz w:val="16"/>
                <w:lang w:eastAsia="en-US"/>
              </w:rPr>
            </w:pPr>
          </w:p>
        </w:tc>
      </w:tr>
    </w:tbl>
    <w:p>
      <w:pPr>
        <w:pStyle w:val="12"/>
        <w:widowControl w:val="0"/>
        <w:autoSpaceDE w:val="0"/>
        <w:autoSpaceDN w:val="0"/>
        <w:spacing w:before="10" w:beforeAutospacing="0" w:after="0" w:afterAutospacing="0"/>
        <w:rPr>
          <w:rFonts w:ascii="思源黑体 CN Bold" w:hAnsi="思源黑体 CN Bold" w:eastAsia="思源黑体 CN Bold" w:cs="黑体"/>
          <w:sz w:val="6"/>
        </w:rPr>
      </w:pPr>
    </w:p>
    <w:p>
      <w:pPr>
        <w:pStyle w:val="12"/>
        <w:widowControl w:val="0"/>
        <w:autoSpaceDE w:val="0"/>
        <w:autoSpaceDN w:val="0"/>
        <w:spacing w:before="38" w:beforeAutospacing="0" w:after="0" w:afterAutospacing="0"/>
        <w:ind w:left="212"/>
        <w:rPr>
          <w:rFonts w:ascii="思源黑体 CN Bold" w:hAnsi="思源黑体 CN Bold" w:eastAsia="思源黑体 CN Bold" w:cs="黑体"/>
        </w:rPr>
      </w:pPr>
      <w:r>
        <w:rPr>
          <w:rFonts w:hint="eastAsia" w:ascii="思源黑体 CN Bold" w:hAnsi="思源黑体 CN Bold" w:eastAsia="思源黑体 CN Bold" w:cs="黑体"/>
          <w:lang w:bidi="ar"/>
        </w:rPr>
        <w:t>b、按余额结转情况如下：</w:t>
      </w:r>
    </w:p>
    <w:p>
      <w:pPr>
        <w:pStyle w:val="36"/>
        <w:widowControl w:val="0"/>
        <w:numPr>
          <w:ilvl w:val="0"/>
          <w:numId w:val="6"/>
        </w:numPr>
        <w:tabs>
          <w:tab w:val="left" w:pos="836"/>
        </w:tabs>
        <w:autoSpaceDE w:val="0"/>
        <w:autoSpaceDN w:val="0"/>
        <w:spacing w:before="182" w:beforeAutospacing="0" w:afterAutospacing="0"/>
        <w:rPr>
          <w:rFonts w:hint="default" w:ascii="思源黑体 CN Bold" w:hAnsi="思源黑体 CN Bold" w:eastAsia="思源黑体 CN Bold" w:cs="黑体"/>
        </w:rPr>
      </w:pPr>
      <w:r>
        <w:rPr>
          <w:rFonts w:ascii="思源黑体 CN Bold" w:hAnsi="思源黑体 CN Bold" w:eastAsia="思源黑体 CN Bold" w:cs="黑体"/>
        </w:rPr>
        <w:t>采购管理</w:t>
      </w:r>
    </w:p>
    <w:p>
      <w:pPr>
        <w:pStyle w:val="12"/>
        <w:widowControl w:val="0"/>
        <w:autoSpaceDE w:val="0"/>
        <w:autoSpaceDN w:val="0"/>
        <w:spacing w:before="182" w:beforeAutospacing="0" w:after="0" w:afterAutospacing="0"/>
        <w:ind w:left="212"/>
        <w:rPr>
          <w:rFonts w:ascii="思源黑体 CN Bold" w:hAnsi="思源黑体 CN Bold" w:eastAsia="思源黑体 CN Bold" w:cs="黑体"/>
        </w:rPr>
      </w:pPr>
      <w:r>
        <w:rPr>
          <w:rFonts w:hint="eastAsia" w:ascii="思源黑体 CN Bold" w:hAnsi="思源黑体 CN Bold" w:eastAsia="思源黑体 CN Bold" w:cs="黑体"/>
          <w:lang w:bidi="ar"/>
        </w:rPr>
        <w:t>采购订单：保存、审核、这二种状态会结转；订单—进货单，则不会结转。</w:t>
      </w:r>
    </w:p>
    <w:p>
      <w:pPr>
        <w:pStyle w:val="12"/>
        <w:widowControl w:val="0"/>
        <w:autoSpaceDE w:val="0"/>
        <w:autoSpaceDN w:val="0"/>
        <w:spacing w:before="181" w:beforeAutospacing="0" w:after="0" w:afterAutospacing="0"/>
        <w:ind w:left="212"/>
        <w:rPr>
          <w:rFonts w:ascii="思源黑体 CN Bold" w:hAnsi="思源黑体 CN Bold" w:eastAsia="思源黑体 CN Bold" w:cs="黑体"/>
        </w:rPr>
      </w:pPr>
      <w:r>
        <w:rPr>
          <w:rFonts w:hint="eastAsia" w:ascii="思源黑体 CN Bold" w:hAnsi="思源黑体 CN Bold" w:eastAsia="思源黑体 CN Bold" w:cs="黑体"/>
          <w:lang w:bidi="ar"/>
        </w:rPr>
        <w:t>进货单：进货单审核状态,会结转至往来期初中；进货单—付款单，则不会结转。</w:t>
      </w:r>
    </w:p>
    <w:p>
      <w:pPr>
        <w:pStyle w:val="36"/>
        <w:widowControl w:val="0"/>
        <w:numPr>
          <w:ilvl w:val="0"/>
          <w:numId w:val="6"/>
        </w:numPr>
        <w:tabs>
          <w:tab w:val="left" w:pos="836"/>
        </w:tabs>
        <w:autoSpaceDE w:val="0"/>
        <w:autoSpaceDN w:val="0"/>
        <w:spacing w:before="182" w:beforeAutospacing="0" w:afterAutospacing="0"/>
        <w:rPr>
          <w:rFonts w:hint="default" w:ascii="思源黑体 CN Bold" w:hAnsi="思源黑体 CN Bold" w:eastAsia="思源黑体 CN Bold" w:cs="黑体"/>
        </w:rPr>
      </w:pPr>
      <w:r>
        <w:rPr>
          <w:rFonts w:ascii="思源黑体 CN Bold" w:hAnsi="思源黑体 CN Bold" w:eastAsia="思源黑体 CN Bold" w:cs="黑体"/>
        </w:rPr>
        <w:t>销售管理</w:t>
      </w:r>
    </w:p>
    <w:p>
      <w:pPr>
        <w:pStyle w:val="12"/>
        <w:widowControl w:val="0"/>
        <w:autoSpaceDE w:val="0"/>
        <w:autoSpaceDN w:val="0"/>
        <w:spacing w:before="181" w:beforeAutospacing="0" w:after="0" w:afterAutospacing="0"/>
        <w:ind w:left="212"/>
        <w:rPr>
          <w:rFonts w:ascii="思源黑体 CN Bold" w:hAnsi="思源黑体 CN Bold" w:eastAsia="思源黑体 CN Bold" w:cs="黑体"/>
        </w:rPr>
      </w:pPr>
      <w:r>
        <w:rPr>
          <w:rFonts w:hint="eastAsia" w:ascii="思源黑体 CN Bold" w:hAnsi="思源黑体 CN Bold" w:eastAsia="思源黑体 CN Bold" w:cs="黑体"/>
          <w:lang w:bidi="ar"/>
        </w:rPr>
        <w:t>销售订单：保存、审核、这二种状态会结转；订单—销货单，则不会结转。</w:t>
      </w:r>
    </w:p>
    <w:p>
      <w:pPr>
        <w:pStyle w:val="12"/>
        <w:widowControl w:val="0"/>
        <w:autoSpaceDE w:val="0"/>
        <w:autoSpaceDN w:val="0"/>
        <w:spacing w:before="182" w:beforeAutospacing="0" w:after="0" w:afterAutospacing="0"/>
        <w:ind w:left="212"/>
        <w:rPr>
          <w:rFonts w:ascii="思源黑体 CN Bold" w:hAnsi="思源黑体 CN Bold" w:eastAsia="思源黑体 CN Bold" w:cs="黑体"/>
        </w:rPr>
      </w:pPr>
      <w:r>
        <w:rPr>
          <w:rFonts w:hint="eastAsia" w:ascii="思源黑体 CN Bold" w:hAnsi="思源黑体 CN Bold" w:eastAsia="思源黑体 CN Bold" w:cs="黑体"/>
          <w:lang w:bidi="ar"/>
        </w:rPr>
        <w:t>销货单：销货单审核状态,会结转至往来期初中；销货单—收款单，则不会结转。</w:t>
      </w:r>
    </w:p>
    <w:p>
      <w:pPr>
        <w:pStyle w:val="36"/>
        <w:widowControl w:val="0"/>
        <w:numPr>
          <w:ilvl w:val="0"/>
          <w:numId w:val="6"/>
        </w:numPr>
        <w:tabs>
          <w:tab w:val="left" w:pos="836"/>
        </w:tabs>
        <w:autoSpaceDE w:val="0"/>
        <w:autoSpaceDN w:val="0"/>
        <w:spacing w:before="182" w:beforeAutospacing="0" w:afterAutospacing="0"/>
        <w:rPr>
          <w:rFonts w:hint="default" w:ascii="思源黑体 CN Bold" w:hAnsi="思源黑体 CN Bold" w:eastAsia="思源黑体 CN Bold" w:cs="黑体"/>
        </w:rPr>
      </w:pPr>
      <w:r>
        <w:rPr>
          <w:rFonts w:ascii="思源黑体 CN Bold" w:hAnsi="思源黑体 CN Bold" w:eastAsia="思源黑体 CN Bold" w:cs="黑体"/>
        </w:rPr>
        <w:t>往来现金管理</w:t>
      </w:r>
    </w:p>
    <w:p>
      <w:pPr>
        <w:pStyle w:val="12"/>
        <w:widowControl w:val="0"/>
        <w:autoSpaceDE w:val="0"/>
        <w:autoSpaceDN w:val="0"/>
        <w:spacing w:before="182" w:beforeAutospacing="0" w:after="0" w:afterAutospacing="0" w:line="336" w:lineRule="auto"/>
        <w:ind w:left="212" w:right="828"/>
        <w:jc w:val="both"/>
        <w:rPr>
          <w:rFonts w:hint="eastAsia" w:ascii="思源黑体 CN Bold" w:hAnsi="思源黑体 CN Bold" w:eastAsia="思源黑体 CN Bold" w:cs="黑体"/>
          <w:lang w:bidi="ar"/>
        </w:rPr>
      </w:pPr>
      <w:r>
        <w:rPr>
          <w:rFonts w:hint="eastAsia" w:ascii="思源黑体 CN Bold" w:hAnsi="思源黑体 CN Bold" w:eastAsia="思源黑体 CN Bold" w:cs="黑体"/>
          <w:lang w:bidi="ar"/>
        </w:rPr>
        <w:t>收款单、付款单：以收款单为例，只有直接收款没核销或直接收款对应的销货单存在未结款数据，则会结转成正常单据，可以被后续单据参照,已经核销完的直接收款单,也会结转过来, 单据上显示已核销，不能被后续参照；预收款会结转成往来期初，普通收款的不结转，以最后的余额转在往来期初中。</w:t>
      </w:r>
    </w:p>
    <w:p>
      <w:pPr>
        <w:pStyle w:val="12"/>
        <w:widowControl w:val="0"/>
        <w:autoSpaceDE w:val="0"/>
        <w:autoSpaceDN w:val="0"/>
        <w:spacing w:before="182" w:beforeAutospacing="0" w:after="0" w:afterAutospacing="0" w:line="336" w:lineRule="auto"/>
        <w:ind w:left="212" w:right="828"/>
        <w:jc w:val="both"/>
        <w:rPr>
          <w:rFonts w:hint="default" w:ascii="思源黑体 CN Bold" w:hAnsi="思源黑体 CN Bold" w:eastAsia="思源黑体 CN Bold" w:cs="黑体"/>
        </w:rPr>
      </w:pPr>
      <w:r>
        <w:rPr>
          <w:rFonts w:hint="eastAsia" w:ascii="思源黑体 CN Bold" w:hAnsi="思源黑体 CN Bold" w:eastAsia="思源黑体 CN Bold" w:cs="黑体"/>
          <w:lang w:bidi="ar"/>
        </w:rPr>
        <w:t>收入单、费用单：没有核销完的全部转为往来期初</w:t>
      </w:r>
      <w:r>
        <w:rPr>
          <w:rFonts w:hint="eastAsia" w:ascii="思源黑体 CN Bold" w:hAnsi="思源黑体 CN Bold" w:eastAsia="思源黑体 CN Bold" w:cs="黑体"/>
          <w:lang w:eastAsia="zh-CN" w:bidi="ar"/>
        </w:rPr>
        <w:t>。</w:t>
      </w:r>
    </w:p>
    <w:sectPr>
      <w:pgSz w:w="11906" w:h="16838"/>
      <w:pgMar w:top="1021" w:right="1134" w:bottom="720" w:left="1134" w:header="454" w:footer="28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FZLanTingHeiS-B-GB">
    <w:altName w:val="微软雅黑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思源黑体 CN Bold">
    <w:altName w:val="黑体"/>
    <w:panose1 w:val="020B0800000000000000"/>
    <w:charset w:val="86"/>
    <w:family w:val="swiss"/>
    <w:pitch w:val="default"/>
    <w:sig w:usb0="00000000" w:usb1="00000000" w:usb2="00000016" w:usb3="00000000" w:csb0="6006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right="360"/>
      <w:jc w:val="center"/>
      <w:rPr>
        <w:rFonts w:ascii="微软雅黑" w:hAnsi="微软雅黑" w:eastAsia="微软雅黑"/>
        <w:b/>
      </w:rPr>
    </w:pPr>
    <w: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posOffset>3361690</wp:posOffset>
              </wp:positionH>
              <wp:positionV relativeFrom="page">
                <wp:posOffset>10093960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  <w:rPr>
                              <w:rStyle w:val="17"/>
                            </w:rPr>
                          </w:pPr>
                          <w:r>
                            <w:rPr>
                              <w:rStyle w:val="17"/>
                            </w:rPr>
                            <w:fldChar w:fldCharType="begin"/>
                          </w:r>
                          <w:r>
                            <w:rPr>
                              <w:rStyle w:val="17"/>
                            </w:rPr>
                            <w:instrText xml:space="preserve">PAGE  </w:instrText>
                          </w:r>
                          <w:r>
                            <w:rPr>
                              <w:rStyle w:val="17"/>
                            </w:rPr>
                            <w:fldChar w:fldCharType="separate"/>
                          </w:r>
                          <w:r>
                            <w:rPr>
                              <w:rStyle w:val="17"/>
                            </w:rPr>
                            <w:t>12</w:t>
                          </w:r>
                          <w:r>
                            <w:rPr>
                              <w:rStyle w:val="17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64.7pt;margin-top:794.8pt;height:144pt;width:144pt;mso-position-horizontal-relative:margin;mso-position-vertical-relative:page;mso-wrap-style:none;z-index:251665408;mso-width-relative:page;mso-height-relative:page;" filled="f" stroked="f" coordsize="21600,21600" o:gfxdata="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Mm+BjfZAAAADQEAAA8AAAAAAAAAAQAgAAAAIgAAAGRycy9kb3ducmV2LnhtbFBLAQIU&#10;ABQAAAAIAIdO4kAFYYw/KwIAAFUEAAAOAAAAAAAAAAEAIAAAACg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Style w:val="17"/>
                      </w:rPr>
                    </w:pPr>
                    <w:r>
                      <w:rPr>
                        <w:rStyle w:val="17"/>
                      </w:rPr>
                      <w:fldChar w:fldCharType="begin"/>
                    </w:r>
                    <w:r>
                      <w:rPr>
                        <w:rStyle w:val="17"/>
                      </w:rPr>
                      <w:instrText xml:space="preserve">PAGE  </w:instrText>
                    </w:r>
                    <w:r>
                      <w:rPr>
                        <w:rStyle w:val="17"/>
                      </w:rPr>
                      <w:fldChar w:fldCharType="separate"/>
                    </w:r>
                    <w:r>
                      <w:rPr>
                        <w:rStyle w:val="17"/>
                      </w:rPr>
                      <w:t>12</w:t>
                    </w:r>
                    <w:r>
                      <w:rPr>
                        <w:rStyle w:val="17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85725</wp:posOffset>
          </wp:positionV>
          <wp:extent cx="6777355" cy="191135"/>
          <wp:effectExtent l="0" t="0" r="4445" b="18415"/>
          <wp:wrapNone/>
          <wp:docPr id="16" name="图片 5" descr="说明: 信纸-01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5" descr="说明: 信纸-01B-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77355" cy="191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framePr w:wrap="around" w:vAnchor="text" w:hAnchor="margin" w:xAlign="right" w:y="1"/>
      <w:rPr>
        <w:rStyle w:val="17"/>
      </w:rPr>
    </w:pPr>
    <w:r>
      <w:rPr>
        <w:rStyle w:val="17"/>
      </w:rPr>
      <w:fldChar w:fldCharType="begin"/>
    </w:r>
    <w:r>
      <w:rPr>
        <w:rStyle w:val="17"/>
      </w:rPr>
      <w:instrText xml:space="preserve">PAGE  </w:instrText>
    </w:r>
    <w:r>
      <w:rPr>
        <w:rStyle w:val="17"/>
      </w:rPr>
      <w:fldChar w:fldCharType="end"/>
    </w:r>
  </w:p>
  <w:p>
    <w:pPr>
      <w:pStyle w:val="9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right="360"/>
      <w:jc w:val="center"/>
      <w:rPr>
        <w:rFonts w:ascii="微软雅黑" w:hAnsi="微软雅黑" w:eastAsia="微软雅黑"/>
        <w:b/>
      </w:rPr>
    </w:pP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posOffset>3361690</wp:posOffset>
              </wp:positionH>
              <wp:positionV relativeFrom="page">
                <wp:posOffset>10093960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  <w:rPr>
                              <w:rStyle w:val="17"/>
                            </w:rPr>
                          </w:pPr>
                          <w:r>
                            <w:rPr>
                              <w:rStyle w:val="17"/>
                            </w:rPr>
                            <w:fldChar w:fldCharType="begin"/>
                          </w:r>
                          <w:r>
                            <w:rPr>
                              <w:rStyle w:val="17"/>
                            </w:rPr>
                            <w:instrText xml:space="preserve">PAGE  </w:instrText>
                          </w:r>
                          <w:r>
                            <w:rPr>
                              <w:rStyle w:val="17"/>
                            </w:rPr>
                            <w:fldChar w:fldCharType="separate"/>
                          </w:r>
                          <w:r>
                            <w:rPr>
                              <w:rStyle w:val="17"/>
                            </w:rPr>
                            <w:t>12</w:t>
                          </w:r>
                          <w:r>
                            <w:rPr>
                              <w:rStyle w:val="17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64.7pt;margin-top:794.8pt;height:144pt;width:144pt;mso-position-horizontal-relative:margin;mso-position-vertical-relative:page;mso-wrap-style:none;z-index:251667456;mso-width-relative:page;mso-height-relative:page;" filled="f" stroked="f" coordsize="21600,21600" o:gfxdata="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JvgY32QAAAA0BAAAPAAAAAAAAAAEAIAAAACIAAABkcnMvZG93bnJldi54bWxQSwEC&#10;FAAUAAAACACHTuJAvQ7dtywCAABVBAAADgAAAAAAAAABACAAAAAoAQAAZHJzL2Uyb0RvYy54bWxQ&#10;SwUGAAAAAAYABgBZAQAAx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Style w:val="17"/>
                      </w:rPr>
                    </w:pPr>
                    <w:r>
                      <w:rPr>
                        <w:rStyle w:val="17"/>
                      </w:rPr>
                      <w:fldChar w:fldCharType="begin"/>
                    </w:r>
                    <w:r>
                      <w:rPr>
                        <w:rStyle w:val="17"/>
                      </w:rPr>
                      <w:instrText xml:space="preserve">PAGE  </w:instrText>
                    </w:r>
                    <w:r>
                      <w:rPr>
                        <w:rStyle w:val="17"/>
                      </w:rPr>
                      <w:fldChar w:fldCharType="separate"/>
                    </w:r>
                    <w:r>
                      <w:rPr>
                        <w:rStyle w:val="17"/>
                      </w:rPr>
                      <w:t>12</w:t>
                    </w:r>
                    <w:r>
                      <w:rPr>
                        <w:rStyle w:val="17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85725</wp:posOffset>
          </wp:positionV>
          <wp:extent cx="6777355" cy="191135"/>
          <wp:effectExtent l="0" t="0" r="4445" b="18415"/>
          <wp:wrapNone/>
          <wp:docPr id="42" name="图片 5" descr="说明: 信纸-01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图片 5" descr="说明: 信纸-01B-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77355" cy="191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9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right="360"/>
      <w:jc w:val="both"/>
      <w:rPr>
        <w:rFonts w:ascii="微软雅黑" w:hAnsi="微软雅黑" w:eastAsia="微软雅黑"/>
        <w:b/>
      </w:rPr>
    </w:pPr>
    <w: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posOffset>3361690</wp:posOffset>
              </wp:positionH>
              <wp:positionV relativeFrom="page">
                <wp:posOffset>10093960</wp:posOffset>
              </wp:positionV>
              <wp:extent cx="1828800" cy="1828800"/>
              <wp:effectExtent l="0" t="0" r="0" b="0"/>
              <wp:wrapNone/>
              <wp:docPr id="37" name="文本框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  <w:rPr>
                              <w:rStyle w:val="17"/>
                            </w:rPr>
                          </w:pPr>
                          <w:r>
                            <w:rPr>
                              <w:rStyle w:val="17"/>
                            </w:rPr>
                            <w:fldChar w:fldCharType="begin"/>
                          </w:r>
                          <w:r>
                            <w:rPr>
                              <w:rStyle w:val="17"/>
                            </w:rPr>
                            <w:instrText xml:space="preserve">PAGE  </w:instrText>
                          </w:r>
                          <w:r>
                            <w:rPr>
                              <w:rStyle w:val="17"/>
                            </w:rPr>
                            <w:fldChar w:fldCharType="separate"/>
                          </w:r>
                          <w:r>
                            <w:rPr>
                              <w:rStyle w:val="17"/>
                            </w:rPr>
                            <w:t>12</w:t>
                          </w:r>
                          <w:r>
                            <w:rPr>
                              <w:rStyle w:val="17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64.7pt;margin-top:794.8pt;height:144pt;width:144pt;mso-position-horizontal-relative:margin;mso-position-vertical-relative:page;mso-wrap-style:none;z-index:251669504;mso-width-relative:page;mso-height-relative:page;" filled="f" stroked="f" coordsize="21600,21600" o:gfxdata="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yb4GN9kAAAANAQAADwAAAAAAAAABACAAAAAiAAAAZHJzL2Rvd25yZXYueG1sUEsB&#10;AhQAFAAAAAgAh07iQLzM9X0tAgAAVwQAAA4AAAAAAAAAAQAgAAAAKAEAAGRycy9lMm9Eb2MueG1s&#10;UEsFBgAAAAAGAAYAWQEAAMc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Style w:val="17"/>
                      </w:rPr>
                    </w:pPr>
                    <w:r>
                      <w:rPr>
                        <w:rStyle w:val="17"/>
                      </w:rPr>
                      <w:fldChar w:fldCharType="begin"/>
                    </w:r>
                    <w:r>
                      <w:rPr>
                        <w:rStyle w:val="17"/>
                      </w:rPr>
                      <w:instrText xml:space="preserve">PAGE  </w:instrText>
                    </w:r>
                    <w:r>
                      <w:rPr>
                        <w:rStyle w:val="17"/>
                      </w:rPr>
                      <w:fldChar w:fldCharType="separate"/>
                    </w:r>
                    <w:r>
                      <w:rPr>
                        <w:rStyle w:val="17"/>
                      </w:rPr>
                      <w:t>12</w:t>
                    </w:r>
                    <w:r>
                      <w:rPr>
                        <w:rStyle w:val="17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85725</wp:posOffset>
          </wp:positionV>
          <wp:extent cx="6777355" cy="191135"/>
          <wp:effectExtent l="0" t="0" r="4445" b="12065"/>
          <wp:wrapNone/>
          <wp:docPr id="46" name="图片 5" descr="说明: 信纸-01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图片 5" descr="说明: 信纸-01B-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77355" cy="191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ind w:left="0"/>
      <w:rPr>
        <w:sz w:val="20"/>
      </w:rPr>
    </w:pPr>
    <w:r>
      <w:rPr>
        <w:lang w:val="en-US" w:bidi="ar-SA"/>
      </w:rPr>
      <w:drawing>
        <wp:anchor distT="0" distB="0" distL="0" distR="0" simplePos="0" relativeHeight="251663360" behindDoc="1" locked="0" layoutInCell="1" allowOverlap="1">
          <wp:simplePos x="0" y="0"/>
          <wp:positionH relativeFrom="margin">
            <wp:posOffset>5200015</wp:posOffset>
          </wp:positionH>
          <wp:positionV relativeFrom="page">
            <wp:posOffset>113030</wp:posOffset>
          </wp:positionV>
          <wp:extent cx="1283335" cy="400685"/>
          <wp:effectExtent l="0" t="0" r="0" b="0"/>
          <wp:wrapNone/>
          <wp:docPr id="1" name="image1.png" descr="C:\Users\Administrator\Desktop\微信图片_20201117135308.png微信图片_202011171353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C:\Users\Administrator\Desktop\微信图片_20201117135308.png微信图片_20201117135308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3335" cy="400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margin">
                <wp:align>center</wp:align>
              </wp:positionH>
              <wp:positionV relativeFrom="topMargin">
                <wp:posOffset>553085</wp:posOffset>
              </wp:positionV>
              <wp:extent cx="6102985" cy="6350"/>
              <wp:effectExtent l="0" t="0" r="31115" b="31750"/>
              <wp:wrapNone/>
              <wp:docPr id="17" name="直线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02985" cy="635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3" o:spid="_x0000_s1026" o:spt="20" style="position:absolute;left:0pt;margin-left:71.75pt;margin-top:43.55pt;height:0.5pt;width:480.55pt;mso-position-horizontal-relative:page;mso-position-vertical-relative:page;z-index:-251652096;mso-width-relative:page;mso-height-relative:page;" filled="f" stroked="t" coordsize="21600,21600" o:gfxdata="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DHku/3TAAAABgEA&#10;AA8AAAAAAAAAAQAgAAAAIgAAAGRycy9kb3ducmV2LnhtbFBLAQIUABQAAAAIAIdO4kAU1dKW5gEA&#10;ANMDAAAOAAAAAAAAAAEAIAAAACIBAABkcnMvZTJvRG9jLnhtbFBLBQYAAAAABgAGAFkBAAB6BQAA&#10;AAA=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EE46170"/>
    <w:multiLevelType w:val="multilevel"/>
    <w:tmpl w:val="8EE46170"/>
    <w:lvl w:ilvl="0" w:tentative="0">
      <w:start w:val="2"/>
      <w:numFmt w:val="decimal"/>
      <w:lvlText w:val="%1、"/>
      <w:lvlJc w:val="left"/>
      <w:pPr>
        <w:ind w:left="720" w:hanging="720"/>
      </w:pPr>
      <w:rPr>
        <w:rFonts w:hint="default" w:ascii="Cambria" w:hAnsi="Times New Roman" w:eastAsia="Cambria" w:cs="Cambr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DA528C60"/>
    <w:multiLevelType w:val="multilevel"/>
    <w:tmpl w:val="DA528C60"/>
    <w:lvl w:ilvl="0" w:tentative="0">
      <w:start w:val="2"/>
      <w:numFmt w:val="decimal"/>
      <w:lvlText w:val="（%1）"/>
      <w:lvlJc w:val="left"/>
      <w:pPr>
        <w:ind w:left="212" w:hanging="624"/>
      </w:pPr>
      <w:rPr>
        <w:rFonts w:hint="eastAsia" w:ascii="微软雅黑" w:hAnsi="微软雅黑" w:eastAsia="微软雅黑" w:cs="微软雅黑"/>
        <w:spacing w:val="-5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266" w:hanging="624"/>
      </w:pPr>
      <w:rPr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313" w:hanging="624"/>
      </w:pPr>
      <w:rPr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359" w:hanging="624"/>
      </w:pPr>
      <w:rPr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406" w:hanging="624"/>
      </w:pPr>
      <w:rPr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453" w:hanging="624"/>
      </w:pPr>
      <w:rPr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499" w:hanging="624"/>
      </w:pPr>
      <w:rPr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546" w:hanging="624"/>
      </w:pPr>
      <w:rPr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593" w:hanging="624"/>
      </w:pPr>
      <w:rPr>
        <w:lang w:val="zh-CN" w:eastAsia="zh-CN" w:bidi="zh-CN"/>
      </w:rPr>
    </w:lvl>
  </w:abstractNum>
  <w:abstractNum w:abstractNumId="2">
    <w:nsid w:val="0547522F"/>
    <w:multiLevelType w:val="multilevel"/>
    <w:tmpl w:val="0547522F"/>
    <w:lvl w:ilvl="0" w:tentative="0">
      <w:start w:val="1"/>
      <w:numFmt w:val="japaneseCounting"/>
      <w:lvlText w:val="%1、"/>
      <w:lvlJc w:val="left"/>
      <w:pPr>
        <w:ind w:left="900" w:hanging="90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6A27F33"/>
    <w:multiLevelType w:val="multilevel"/>
    <w:tmpl w:val="26A27F33"/>
    <w:lvl w:ilvl="0" w:tentative="0">
      <w:start w:val="1"/>
      <w:numFmt w:val="decimal"/>
      <w:lvlText w:val="（%1）"/>
      <w:lvlJc w:val="left"/>
      <w:pPr>
        <w:ind w:left="933" w:hanging="631"/>
      </w:pPr>
      <w:rPr>
        <w:b/>
        <w:bCs/>
        <w:i/>
        <w:w w:val="100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960" w:hanging="631"/>
      </w:pPr>
      <w:rPr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040" w:hanging="631"/>
      </w:pPr>
      <w:rPr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121" w:hanging="631"/>
      </w:pPr>
      <w:rPr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202" w:hanging="631"/>
      </w:pPr>
      <w:rPr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282" w:hanging="631"/>
      </w:pPr>
      <w:rPr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363" w:hanging="631"/>
      </w:pPr>
      <w:rPr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444" w:hanging="631"/>
      </w:pPr>
      <w:rPr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524" w:hanging="631"/>
      </w:pPr>
      <w:rPr>
        <w:lang w:val="zh-CN" w:eastAsia="zh-CN" w:bidi="zh-CN"/>
      </w:rPr>
    </w:lvl>
  </w:abstractNum>
  <w:abstractNum w:abstractNumId="4">
    <w:nsid w:val="29D81F83"/>
    <w:multiLevelType w:val="multilevel"/>
    <w:tmpl w:val="29D81F83"/>
    <w:lvl w:ilvl="0" w:tentative="0">
      <w:start w:val="1"/>
      <w:numFmt w:val="decimal"/>
      <w:lvlText w:val="（%1）"/>
      <w:lvlJc w:val="left"/>
      <w:pPr>
        <w:ind w:left="835" w:hanging="624"/>
      </w:pPr>
      <w:rPr>
        <w:rFonts w:hint="eastAsia" w:ascii="微软雅黑" w:hAnsi="微软雅黑" w:eastAsia="微软雅黑" w:cs="微软雅黑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824" w:hanging="624"/>
      </w:pPr>
      <w:rPr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809" w:hanging="624"/>
      </w:pPr>
      <w:rPr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793" w:hanging="624"/>
      </w:pPr>
      <w:rPr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778" w:hanging="624"/>
      </w:pPr>
      <w:rPr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763" w:hanging="624"/>
      </w:pPr>
      <w:rPr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747" w:hanging="624"/>
      </w:pPr>
      <w:rPr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732" w:hanging="624"/>
      </w:pPr>
      <w:rPr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717" w:hanging="624"/>
      </w:pPr>
      <w:rPr>
        <w:lang w:val="zh-CN" w:eastAsia="zh-CN" w:bidi="zh-CN"/>
      </w:rPr>
    </w:lvl>
  </w:abstractNum>
  <w:abstractNum w:abstractNumId="5">
    <w:nsid w:val="2F1644AC"/>
    <w:multiLevelType w:val="multilevel"/>
    <w:tmpl w:val="2F1644AC"/>
    <w:lvl w:ilvl="0" w:tentative="0">
      <w:start w:val="1"/>
      <w:numFmt w:val="decimal"/>
      <w:lvlText w:val="（%1）"/>
      <w:lvlJc w:val="left"/>
      <w:pPr>
        <w:ind w:left="835" w:hanging="624"/>
      </w:pPr>
      <w:rPr>
        <w:w w:val="100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824" w:hanging="624"/>
      </w:pPr>
      <w:rPr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809" w:hanging="624"/>
      </w:pPr>
      <w:rPr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793" w:hanging="624"/>
      </w:pPr>
      <w:rPr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778" w:hanging="624"/>
      </w:pPr>
      <w:rPr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763" w:hanging="624"/>
      </w:pPr>
      <w:rPr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747" w:hanging="624"/>
      </w:pPr>
      <w:rPr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732" w:hanging="624"/>
      </w:pPr>
      <w:rPr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717" w:hanging="624"/>
      </w:pPr>
      <w:rPr>
        <w:lang w:val="zh-CN" w:eastAsia="zh-CN" w:bidi="zh-CN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E2ODZlZDI4YzVjZmQyMDRkYmVmY2I5YTlhNzM4YTAifQ=="/>
  </w:docVars>
  <w:rsids>
    <w:rsidRoot w:val="00770737"/>
    <w:rsid w:val="00001348"/>
    <w:rsid w:val="000051AF"/>
    <w:rsid w:val="000075DA"/>
    <w:rsid w:val="000100A8"/>
    <w:rsid w:val="000166BE"/>
    <w:rsid w:val="000176CF"/>
    <w:rsid w:val="000220AC"/>
    <w:rsid w:val="000237F7"/>
    <w:rsid w:val="0003168C"/>
    <w:rsid w:val="00031A87"/>
    <w:rsid w:val="00032DA0"/>
    <w:rsid w:val="00046700"/>
    <w:rsid w:val="00055726"/>
    <w:rsid w:val="00055CC2"/>
    <w:rsid w:val="00075529"/>
    <w:rsid w:val="000830A6"/>
    <w:rsid w:val="000856EC"/>
    <w:rsid w:val="00087B11"/>
    <w:rsid w:val="00092286"/>
    <w:rsid w:val="000958E1"/>
    <w:rsid w:val="000A2B65"/>
    <w:rsid w:val="000B3E4B"/>
    <w:rsid w:val="000C0862"/>
    <w:rsid w:val="000C1816"/>
    <w:rsid w:val="000C1E3C"/>
    <w:rsid w:val="000C24BE"/>
    <w:rsid w:val="000C7087"/>
    <w:rsid w:val="000C72F0"/>
    <w:rsid w:val="000C766B"/>
    <w:rsid w:val="000D0F7F"/>
    <w:rsid w:val="000E664B"/>
    <w:rsid w:val="000E728F"/>
    <w:rsid w:val="000F020F"/>
    <w:rsid w:val="000F58E8"/>
    <w:rsid w:val="000F7B00"/>
    <w:rsid w:val="00106D11"/>
    <w:rsid w:val="00107C3F"/>
    <w:rsid w:val="00115AD6"/>
    <w:rsid w:val="0012133E"/>
    <w:rsid w:val="00121A8F"/>
    <w:rsid w:val="00127970"/>
    <w:rsid w:val="00132A0E"/>
    <w:rsid w:val="0013711B"/>
    <w:rsid w:val="00137EEB"/>
    <w:rsid w:val="0014094C"/>
    <w:rsid w:val="00141BB1"/>
    <w:rsid w:val="001423DA"/>
    <w:rsid w:val="00143B8A"/>
    <w:rsid w:val="00150238"/>
    <w:rsid w:val="00165F35"/>
    <w:rsid w:val="00181D0B"/>
    <w:rsid w:val="0018209B"/>
    <w:rsid w:val="00190189"/>
    <w:rsid w:val="001965B9"/>
    <w:rsid w:val="00196C05"/>
    <w:rsid w:val="00196DFD"/>
    <w:rsid w:val="001C4397"/>
    <w:rsid w:val="001D6E68"/>
    <w:rsid w:val="001E03B7"/>
    <w:rsid w:val="001E2A06"/>
    <w:rsid w:val="001F592E"/>
    <w:rsid w:val="001F5BBE"/>
    <w:rsid w:val="0020143D"/>
    <w:rsid w:val="00201C08"/>
    <w:rsid w:val="00202D40"/>
    <w:rsid w:val="00212B52"/>
    <w:rsid w:val="0021367E"/>
    <w:rsid w:val="002149D0"/>
    <w:rsid w:val="00225EB0"/>
    <w:rsid w:val="0023254F"/>
    <w:rsid w:val="0023351D"/>
    <w:rsid w:val="002376C9"/>
    <w:rsid w:val="00253C33"/>
    <w:rsid w:val="00260557"/>
    <w:rsid w:val="002671BC"/>
    <w:rsid w:val="002672D0"/>
    <w:rsid w:val="002675B7"/>
    <w:rsid w:val="002729F1"/>
    <w:rsid w:val="00277491"/>
    <w:rsid w:val="00283112"/>
    <w:rsid w:val="00286378"/>
    <w:rsid w:val="00293B34"/>
    <w:rsid w:val="00294EB1"/>
    <w:rsid w:val="002A21E6"/>
    <w:rsid w:val="002A576C"/>
    <w:rsid w:val="002B3F85"/>
    <w:rsid w:val="002B7A02"/>
    <w:rsid w:val="002C33DC"/>
    <w:rsid w:val="002C429C"/>
    <w:rsid w:val="002D3594"/>
    <w:rsid w:val="002D4870"/>
    <w:rsid w:val="002D5C64"/>
    <w:rsid w:val="002E02DC"/>
    <w:rsid w:val="002E09B9"/>
    <w:rsid w:val="002E11DF"/>
    <w:rsid w:val="002E40E0"/>
    <w:rsid w:val="002E53F7"/>
    <w:rsid w:val="002E7360"/>
    <w:rsid w:val="002F2FDE"/>
    <w:rsid w:val="002F3922"/>
    <w:rsid w:val="002F5026"/>
    <w:rsid w:val="002F7592"/>
    <w:rsid w:val="002F7B7E"/>
    <w:rsid w:val="00303FE8"/>
    <w:rsid w:val="00314B0D"/>
    <w:rsid w:val="0031557C"/>
    <w:rsid w:val="003177A7"/>
    <w:rsid w:val="00323908"/>
    <w:rsid w:val="00326490"/>
    <w:rsid w:val="00336A63"/>
    <w:rsid w:val="00337CA2"/>
    <w:rsid w:val="003547DB"/>
    <w:rsid w:val="00372E69"/>
    <w:rsid w:val="00374217"/>
    <w:rsid w:val="00377BE5"/>
    <w:rsid w:val="00385AC7"/>
    <w:rsid w:val="00386B7B"/>
    <w:rsid w:val="00394066"/>
    <w:rsid w:val="003A0C88"/>
    <w:rsid w:val="003A6185"/>
    <w:rsid w:val="003B3428"/>
    <w:rsid w:val="003B7438"/>
    <w:rsid w:val="003C05B4"/>
    <w:rsid w:val="003C2F91"/>
    <w:rsid w:val="003C6227"/>
    <w:rsid w:val="003C6432"/>
    <w:rsid w:val="003D0EE0"/>
    <w:rsid w:val="003D2EC2"/>
    <w:rsid w:val="003D4EC5"/>
    <w:rsid w:val="003D6F86"/>
    <w:rsid w:val="003F0155"/>
    <w:rsid w:val="003F3992"/>
    <w:rsid w:val="003F3CDE"/>
    <w:rsid w:val="003F520D"/>
    <w:rsid w:val="003F5DC2"/>
    <w:rsid w:val="004047E1"/>
    <w:rsid w:val="00416689"/>
    <w:rsid w:val="00416A2E"/>
    <w:rsid w:val="00427C39"/>
    <w:rsid w:val="00434CA0"/>
    <w:rsid w:val="004374E3"/>
    <w:rsid w:val="00437961"/>
    <w:rsid w:val="00437DC5"/>
    <w:rsid w:val="00443436"/>
    <w:rsid w:val="004462A2"/>
    <w:rsid w:val="00446CBE"/>
    <w:rsid w:val="00453BE7"/>
    <w:rsid w:val="004564EA"/>
    <w:rsid w:val="0046051A"/>
    <w:rsid w:val="00461482"/>
    <w:rsid w:val="004700D2"/>
    <w:rsid w:val="00474698"/>
    <w:rsid w:val="00475374"/>
    <w:rsid w:val="00477AD8"/>
    <w:rsid w:val="004814FC"/>
    <w:rsid w:val="00484A89"/>
    <w:rsid w:val="004922A6"/>
    <w:rsid w:val="004A04B0"/>
    <w:rsid w:val="004B0781"/>
    <w:rsid w:val="004B2D58"/>
    <w:rsid w:val="004C509E"/>
    <w:rsid w:val="004C6898"/>
    <w:rsid w:val="004D1C97"/>
    <w:rsid w:val="004D69F0"/>
    <w:rsid w:val="004E1E1D"/>
    <w:rsid w:val="004F4423"/>
    <w:rsid w:val="00507583"/>
    <w:rsid w:val="00514A0A"/>
    <w:rsid w:val="0051510E"/>
    <w:rsid w:val="00527A7D"/>
    <w:rsid w:val="005309AB"/>
    <w:rsid w:val="00542F38"/>
    <w:rsid w:val="0054516A"/>
    <w:rsid w:val="00561B17"/>
    <w:rsid w:val="00564D0C"/>
    <w:rsid w:val="00570F5B"/>
    <w:rsid w:val="005736B9"/>
    <w:rsid w:val="00574147"/>
    <w:rsid w:val="005755B3"/>
    <w:rsid w:val="00581069"/>
    <w:rsid w:val="00584376"/>
    <w:rsid w:val="0058480B"/>
    <w:rsid w:val="0058499D"/>
    <w:rsid w:val="00591266"/>
    <w:rsid w:val="005973BE"/>
    <w:rsid w:val="005A0A2C"/>
    <w:rsid w:val="005A1B71"/>
    <w:rsid w:val="005A1D95"/>
    <w:rsid w:val="005A3A72"/>
    <w:rsid w:val="005A3C3E"/>
    <w:rsid w:val="005A4C5D"/>
    <w:rsid w:val="005B0417"/>
    <w:rsid w:val="005B2D19"/>
    <w:rsid w:val="005B6838"/>
    <w:rsid w:val="005C1448"/>
    <w:rsid w:val="005C41EC"/>
    <w:rsid w:val="005D01B5"/>
    <w:rsid w:val="005D6FA2"/>
    <w:rsid w:val="005E07F3"/>
    <w:rsid w:val="005E3B38"/>
    <w:rsid w:val="005E3BA2"/>
    <w:rsid w:val="006053D1"/>
    <w:rsid w:val="006055BD"/>
    <w:rsid w:val="0061186A"/>
    <w:rsid w:val="006132AE"/>
    <w:rsid w:val="00621B2D"/>
    <w:rsid w:val="00623E2E"/>
    <w:rsid w:val="00625E71"/>
    <w:rsid w:val="00630004"/>
    <w:rsid w:val="006352B7"/>
    <w:rsid w:val="00635AEA"/>
    <w:rsid w:val="00636827"/>
    <w:rsid w:val="006402A5"/>
    <w:rsid w:val="006407C7"/>
    <w:rsid w:val="006459CA"/>
    <w:rsid w:val="00654D19"/>
    <w:rsid w:val="006605C1"/>
    <w:rsid w:val="0066318B"/>
    <w:rsid w:val="00663621"/>
    <w:rsid w:val="00666B7C"/>
    <w:rsid w:val="0067119A"/>
    <w:rsid w:val="006712A0"/>
    <w:rsid w:val="00672D84"/>
    <w:rsid w:val="006754ED"/>
    <w:rsid w:val="00677C82"/>
    <w:rsid w:val="0068562C"/>
    <w:rsid w:val="006926CC"/>
    <w:rsid w:val="00693C9A"/>
    <w:rsid w:val="006943AE"/>
    <w:rsid w:val="0069628A"/>
    <w:rsid w:val="006A4533"/>
    <w:rsid w:val="006A7994"/>
    <w:rsid w:val="006C041B"/>
    <w:rsid w:val="006C68A5"/>
    <w:rsid w:val="006C6C77"/>
    <w:rsid w:val="006D4FAE"/>
    <w:rsid w:val="006E5031"/>
    <w:rsid w:val="006E668B"/>
    <w:rsid w:val="006F1912"/>
    <w:rsid w:val="006F769E"/>
    <w:rsid w:val="0070179A"/>
    <w:rsid w:val="00701894"/>
    <w:rsid w:val="00707B5F"/>
    <w:rsid w:val="00715024"/>
    <w:rsid w:val="007151CB"/>
    <w:rsid w:val="00716A3C"/>
    <w:rsid w:val="00722638"/>
    <w:rsid w:val="0073325C"/>
    <w:rsid w:val="007364A7"/>
    <w:rsid w:val="007440E1"/>
    <w:rsid w:val="00745DE7"/>
    <w:rsid w:val="00746463"/>
    <w:rsid w:val="00760247"/>
    <w:rsid w:val="00762725"/>
    <w:rsid w:val="00763FEA"/>
    <w:rsid w:val="00765C7C"/>
    <w:rsid w:val="00770737"/>
    <w:rsid w:val="007761E4"/>
    <w:rsid w:val="007B03CF"/>
    <w:rsid w:val="007B0E52"/>
    <w:rsid w:val="007B133D"/>
    <w:rsid w:val="007B4E0C"/>
    <w:rsid w:val="007C05BC"/>
    <w:rsid w:val="007C2A02"/>
    <w:rsid w:val="007D0D78"/>
    <w:rsid w:val="007D306C"/>
    <w:rsid w:val="007D5FB3"/>
    <w:rsid w:val="007D6A33"/>
    <w:rsid w:val="007E06F7"/>
    <w:rsid w:val="007E62BF"/>
    <w:rsid w:val="007E7243"/>
    <w:rsid w:val="007F2795"/>
    <w:rsid w:val="00805A14"/>
    <w:rsid w:val="00805C82"/>
    <w:rsid w:val="00805FAA"/>
    <w:rsid w:val="00816D2B"/>
    <w:rsid w:val="00830BDE"/>
    <w:rsid w:val="008337D9"/>
    <w:rsid w:val="00851C6B"/>
    <w:rsid w:val="00861125"/>
    <w:rsid w:val="00861A05"/>
    <w:rsid w:val="00862C8E"/>
    <w:rsid w:val="00862E4E"/>
    <w:rsid w:val="008636D1"/>
    <w:rsid w:val="00880DBD"/>
    <w:rsid w:val="00881705"/>
    <w:rsid w:val="00882139"/>
    <w:rsid w:val="00882C02"/>
    <w:rsid w:val="00886567"/>
    <w:rsid w:val="00886679"/>
    <w:rsid w:val="008916F3"/>
    <w:rsid w:val="008971D1"/>
    <w:rsid w:val="00897414"/>
    <w:rsid w:val="008A505C"/>
    <w:rsid w:val="008B08A5"/>
    <w:rsid w:val="008B1CD8"/>
    <w:rsid w:val="008B4BCB"/>
    <w:rsid w:val="008D1F59"/>
    <w:rsid w:val="008D68CC"/>
    <w:rsid w:val="008D71E2"/>
    <w:rsid w:val="008D7318"/>
    <w:rsid w:val="008D75F7"/>
    <w:rsid w:val="008E1F03"/>
    <w:rsid w:val="008E34F5"/>
    <w:rsid w:val="008E5E96"/>
    <w:rsid w:val="008E7EC8"/>
    <w:rsid w:val="008F36C2"/>
    <w:rsid w:val="008F7808"/>
    <w:rsid w:val="0090047C"/>
    <w:rsid w:val="00901C53"/>
    <w:rsid w:val="0091257C"/>
    <w:rsid w:val="00913CAC"/>
    <w:rsid w:val="00913F06"/>
    <w:rsid w:val="00920B05"/>
    <w:rsid w:val="00925E15"/>
    <w:rsid w:val="00925E98"/>
    <w:rsid w:val="00927BFD"/>
    <w:rsid w:val="009458B0"/>
    <w:rsid w:val="00945D69"/>
    <w:rsid w:val="00961EA8"/>
    <w:rsid w:val="00971FB3"/>
    <w:rsid w:val="009734BB"/>
    <w:rsid w:val="00975CA2"/>
    <w:rsid w:val="0098664A"/>
    <w:rsid w:val="009868F5"/>
    <w:rsid w:val="00990547"/>
    <w:rsid w:val="0099090F"/>
    <w:rsid w:val="00990B43"/>
    <w:rsid w:val="009960AA"/>
    <w:rsid w:val="00996E89"/>
    <w:rsid w:val="009A14BC"/>
    <w:rsid w:val="009A2E90"/>
    <w:rsid w:val="009B0985"/>
    <w:rsid w:val="009D0688"/>
    <w:rsid w:val="009D5625"/>
    <w:rsid w:val="009F46DC"/>
    <w:rsid w:val="009F4757"/>
    <w:rsid w:val="009F7F10"/>
    <w:rsid w:val="00A002E3"/>
    <w:rsid w:val="00A020A6"/>
    <w:rsid w:val="00A1063C"/>
    <w:rsid w:val="00A11AE7"/>
    <w:rsid w:val="00A223D3"/>
    <w:rsid w:val="00A2562D"/>
    <w:rsid w:val="00A25804"/>
    <w:rsid w:val="00A3073C"/>
    <w:rsid w:val="00A30A89"/>
    <w:rsid w:val="00A32B97"/>
    <w:rsid w:val="00A33275"/>
    <w:rsid w:val="00A356B6"/>
    <w:rsid w:val="00A3778C"/>
    <w:rsid w:val="00A44A93"/>
    <w:rsid w:val="00A46770"/>
    <w:rsid w:val="00A5380B"/>
    <w:rsid w:val="00A55210"/>
    <w:rsid w:val="00A57597"/>
    <w:rsid w:val="00A62B65"/>
    <w:rsid w:val="00A72296"/>
    <w:rsid w:val="00A95BDF"/>
    <w:rsid w:val="00A96140"/>
    <w:rsid w:val="00A96F48"/>
    <w:rsid w:val="00A972ED"/>
    <w:rsid w:val="00AA15B8"/>
    <w:rsid w:val="00AA1E85"/>
    <w:rsid w:val="00AA41D0"/>
    <w:rsid w:val="00AA52B1"/>
    <w:rsid w:val="00AB3271"/>
    <w:rsid w:val="00AC6E7E"/>
    <w:rsid w:val="00AC718C"/>
    <w:rsid w:val="00AE041F"/>
    <w:rsid w:val="00AE1F71"/>
    <w:rsid w:val="00AF05CB"/>
    <w:rsid w:val="00B01E6C"/>
    <w:rsid w:val="00B02F49"/>
    <w:rsid w:val="00B06D1F"/>
    <w:rsid w:val="00B07857"/>
    <w:rsid w:val="00B157B4"/>
    <w:rsid w:val="00B2124F"/>
    <w:rsid w:val="00B23053"/>
    <w:rsid w:val="00B26CAF"/>
    <w:rsid w:val="00B360AB"/>
    <w:rsid w:val="00B44ACC"/>
    <w:rsid w:val="00B52646"/>
    <w:rsid w:val="00B530FF"/>
    <w:rsid w:val="00B54287"/>
    <w:rsid w:val="00B56F95"/>
    <w:rsid w:val="00B6598E"/>
    <w:rsid w:val="00B6686D"/>
    <w:rsid w:val="00B67F4D"/>
    <w:rsid w:val="00B74C29"/>
    <w:rsid w:val="00B859CC"/>
    <w:rsid w:val="00B86A1F"/>
    <w:rsid w:val="00BA07C1"/>
    <w:rsid w:val="00BA6BC7"/>
    <w:rsid w:val="00BB2060"/>
    <w:rsid w:val="00BB3C97"/>
    <w:rsid w:val="00BB43A9"/>
    <w:rsid w:val="00BC0F85"/>
    <w:rsid w:val="00BD04F2"/>
    <w:rsid w:val="00BE0D59"/>
    <w:rsid w:val="00BE137F"/>
    <w:rsid w:val="00BE1534"/>
    <w:rsid w:val="00BE2111"/>
    <w:rsid w:val="00BE25FC"/>
    <w:rsid w:val="00BE6583"/>
    <w:rsid w:val="00BF7A80"/>
    <w:rsid w:val="00C0030F"/>
    <w:rsid w:val="00C004BF"/>
    <w:rsid w:val="00C06491"/>
    <w:rsid w:val="00C14AF5"/>
    <w:rsid w:val="00C15485"/>
    <w:rsid w:val="00C17292"/>
    <w:rsid w:val="00C25082"/>
    <w:rsid w:val="00C31D31"/>
    <w:rsid w:val="00C35D48"/>
    <w:rsid w:val="00C4550A"/>
    <w:rsid w:val="00C460BB"/>
    <w:rsid w:val="00C5190E"/>
    <w:rsid w:val="00C51A8F"/>
    <w:rsid w:val="00C53BAE"/>
    <w:rsid w:val="00C60374"/>
    <w:rsid w:val="00C6175F"/>
    <w:rsid w:val="00C62118"/>
    <w:rsid w:val="00C66EC9"/>
    <w:rsid w:val="00C70F44"/>
    <w:rsid w:val="00C74C91"/>
    <w:rsid w:val="00C8339F"/>
    <w:rsid w:val="00C97218"/>
    <w:rsid w:val="00CA1407"/>
    <w:rsid w:val="00CA20A1"/>
    <w:rsid w:val="00CA748B"/>
    <w:rsid w:val="00CB29F9"/>
    <w:rsid w:val="00CB72FD"/>
    <w:rsid w:val="00CB79F9"/>
    <w:rsid w:val="00CB7C26"/>
    <w:rsid w:val="00CC27C7"/>
    <w:rsid w:val="00CD5EE6"/>
    <w:rsid w:val="00CD7604"/>
    <w:rsid w:val="00CE4E01"/>
    <w:rsid w:val="00CE57DF"/>
    <w:rsid w:val="00CF019B"/>
    <w:rsid w:val="00CF74A7"/>
    <w:rsid w:val="00D034CE"/>
    <w:rsid w:val="00D04E2B"/>
    <w:rsid w:val="00D1244C"/>
    <w:rsid w:val="00D129E4"/>
    <w:rsid w:val="00D14C76"/>
    <w:rsid w:val="00D16FAB"/>
    <w:rsid w:val="00D17BA2"/>
    <w:rsid w:val="00D207EA"/>
    <w:rsid w:val="00D316A3"/>
    <w:rsid w:val="00D36DF9"/>
    <w:rsid w:val="00D4395D"/>
    <w:rsid w:val="00D46640"/>
    <w:rsid w:val="00D51223"/>
    <w:rsid w:val="00D557B5"/>
    <w:rsid w:val="00D56668"/>
    <w:rsid w:val="00D6024D"/>
    <w:rsid w:val="00D65DB1"/>
    <w:rsid w:val="00D70C7E"/>
    <w:rsid w:val="00D84F30"/>
    <w:rsid w:val="00D87405"/>
    <w:rsid w:val="00D95A34"/>
    <w:rsid w:val="00DA01DA"/>
    <w:rsid w:val="00DA5BBF"/>
    <w:rsid w:val="00DC49C4"/>
    <w:rsid w:val="00DC61B8"/>
    <w:rsid w:val="00DC66BA"/>
    <w:rsid w:val="00DD6135"/>
    <w:rsid w:val="00DE26B0"/>
    <w:rsid w:val="00DF545D"/>
    <w:rsid w:val="00DF5B50"/>
    <w:rsid w:val="00DF7DCD"/>
    <w:rsid w:val="00E036A8"/>
    <w:rsid w:val="00E11A10"/>
    <w:rsid w:val="00E14035"/>
    <w:rsid w:val="00E1757E"/>
    <w:rsid w:val="00E253D3"/>
    <w:rsid w:val="00E3078D"/>
    <w:rsid w:val="00E40A79"/>
    <w:rsid w:val="00E42BBF"/>
    <w:rsid w:val="00E514A1"/>
    <w:rsid w:val="00E53999"/>
    <w:rsid w:val="00E5572C"/>
    <w:rsid w:val="00E571B1"/>
    <w:rsid w:val="00E63CB8"/>
    <w:rsid w:val="00E82379"/>
    <w:rsid w:val="00E8485F"/>
    <w:rsid w:val="00E86D67"/>
    <w:rsid w:val="00E86D93"/>
    <w:rsid w:val="00E97F9F"/>
    <w:rsid w:val="00EA09B6"/>
    <w:rsid w:val="00EA3ACF"/>
    <w:rsid w:val="00EA4944"/>
    <w:rsid w:val="00EB2484"/>
    <w:rsid w:val="00EC0F99"/>
    <w:rsid w:val="00EC162F"/>
    <w:rsid w:val="00ED4C7A"/>
    <w:rsid w:val="00EE74DF"/>
    <w:rsid w:val="00EE7F45"/>
    <w:rsid w:val="00EF0C20"/>
    <w:rsid w:val="00F07BDB"/>
    <w:rsid w:val="00F10603"/>
    <w:rsid w:val="00F10C34"/>
    <w:rsid w:val="00F12FB4"/>
    <w:rsid w:val="00F232BA"/>
    <w:rsid w:val="00F349BB"/>
    <w:rsid w:val="00F3775E"/>
    <w:rsid w:val="00F41E95"/>
    <w:rsid w:val="00F472C0"/>
    <w:rsid w:val="00F502F5"/>
    <w:rsid w:val="00F53F2F"/>
    <w:rsid w:val="00F62434"/>
    <w:rsid w:val="00F65521"/>
    <w:rsid w:val="00F741C9"/>
    <w:rsid w:val="00F74D4E"/>
    <w:rsid w:val="00F8169B"/>
    <w:rsid w:val="00F82ADE"/>
    <w:rsid w:val="00F84242"/>
    <w:rsid w:val="00F86A8D"/>
    <w:rsid w:val="00F90234"/>
    <w:rsid w:val="00F95971"/>
    <w:rsid w:val="00FA0052"/>
    <w:rsid w:val="00FA1675"/>
    <w:rsid w:val="00FA4054"/>
    <w:rsid w:val="00FA7D4E"/>
    <w:rsid w:val="00FB0748"/>
    <w:rsid w:val="00FB6380"/>
    <w:rsid w:val="00FC0B36"/>
    <w:rsid w:val="00FC37B7"/>
    <w:rsid w:val="00FC5D2D"/>
    <w:rsid w:val="00FC7B8C"/>
    <w:rsid w:val="00FD5AA2"/>
    <w:rsid w:val="00FE23CB"/>
    <w:rsid w:val="00FE29AF"/>
    <w:rsid w:val="00FE3895"/>
    <w:rsid w:val="00FE5EFF"/>
    <w:rsid w:val="00FF3193"/>
    <w:rsid w:val="00FF4E3C"/>
    <w:rsid w:val="00FF6199"/>
    <w:rsid w:val="00FF78E5"/>
    <w:rsid w:val="02110965"/>
    <w:rsid w:val="026C7C25"/>
    <w:rsid w:val="02D36422"/>
    <w:rsid w:val="03864B91"/>
    <w:rsid w:val="04E42D4B"/>
    <w:rsid w:val="088958E1"/>
    <w:rsid w:val="094E5528"/>
    <w:rsid w:val="0B2709C4"/>
    <w:rsid w:val="0BDA052D"/>
    <w:rsid w:val="105F3FC5"/>
    <w:rsid w:val="12BE7188"/>
    <w:rsid w:val="150D5D53"/>
    <w:rsid w:val="15C9226E"/>
    <w:rsid w:val="16A136C9"/>
    <w:rsid w:val="1DAD3AC7"/>
    <w:rsid w:val="1F852B28"/>
    <w:rsid w:val="1FD830FC"/>
    <w:rsid w:val="20CB6B07"/>
    <w:rsid w:val="21F3370E"/>
    <w:rsid w:val="22283DD9"/>
    <w:rsid w:val="2235499C"/>
    <w:rsid w:val="22C205D7"/>
    <w:rsid w:val="231E10BB"/>
    <w:rsid w:val="238F7AD0"/>
    <w:rsid w:val="29AF590F"/>
    <w:rsid w:val="2EB73BF7"/>
    <w:rsid w:val="2EE61AE6"/>
    <w:rsid w:val="32582618"/>
    <w:rsid w:val="346F4C25"/>
    <w:rsid w:val="3537527E"/>
    <w:rsid w:val="39086B72"/>
    <w:rsid w:val="3CC16FA3"/>
    <w:rsid w:val="3F552119"/>
    <w:rsid w:val="400709B1"/>
    <w:rsid w:val="40D462DC"/>
    <w:rsid w:val="41AC4FEA"/>
    <w:rsid w:val="42BC2F14"/>
    <w:rsid w:val="43606CF5"/>
    <w:rsid w:val="49CC31B2"/>
    <w:rsid w:val="51AE7EA5"/>
    <w:rsid w:val="52422686"/>
    <w:rsid w:val="53B1005D"/>
    <w:rsid w:val="549C384B"/>
    <w:rsid w:val="555B4545"/>
    <w:rsid w:val="5816784A"/>
    <w:rsid w:val="591F049B"/>
    <w:rsid w:val="5D7E03CF"/>
    <w:rsid w:val="5E447C26"/>
    <w:rsid w:val="5E7A698B"/>
    <w:rsid w:val="5FDB1285"/>
    <w:rsid w:val="5FF04A07"/>
    <w:rsid w:val="636C6B72"/>
    <w:rsid w:val="639978CE"/>
    <w:rsid w:val="63C93791"/>
    <w:rsid w:val="64D0084D"/>
    <w:rsid w:val="6C5276FC"/>
    <w:rsid w:val="6DCE2B1A"/>
    <w:rsid w:val="6F2609B5"/>
    <w:rsid w:val="718B295C"/>
    <w:rsid w:val="72A1788C"/>
    <w:rsid w:val="72B570EA"/>
    <w:rsid w:val="731C12BF"/>
    <w:rsid w:val="7387214E"/>
    <w:rsid w:val="746F0EEE"/>
    <w:rsid w:val="75AA1858"/>
    <w:rsid w:val="76127910"/>
    <w:rsid w:val="78B614A0"/>
    <w:rsid w:val="7A3F6F6D"/>
    <w:rsid w:val="7E6D7E3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0" w:name="toc 1" w:locked="1"/>
    <w:lsdException w:uiPriority="0" w:name="toc 2" w:locked="1"/>
    <w:lsdException w:uiPriority="0" w:name="toc 3" w:locked="1"/>
    <w:lsdException w:uiPriority="0" w:name="toc 4" w:locked="1"/>
    <w:lsdException w:uiPriority="0" w:name="toc 5" w:locked="1"/>
    <w:lsdException w:uiPriority="0" w:name="toc 6" w:locked="1"/>
    <w:lsdException w:uiPriority="0" w:name="toc 7" w:locked="1"/>
    <w:lsdException w:uiPriority="0" w:name="toc 8" w:locked="1"/>
    <w:lsdException w:uiPriority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qFormat="1" w:unhideWhenUsed="0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qFormat="1" w:unhideWhenUsed="0" w:uiPriority="99" w:semiHidden="0" w:name="Plain Text"/>
    <w:lsdException w:uiPriority="99" w:name="E-mail Signature"/>
    <w:lsdException w:qFormat="1" w:unhideWhenUsed="0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0" w:name="Table Web 2" w:locked="1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0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9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qFormat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</w:rPr>
  </w:style>
  <w:style w:type="paragraph" w:styleId="4">
    <w:name w:val="heading 3"/>
    <w:basedOn w:val="1"/>
    <w:next w:val="1"/>
    <w:link w:val="22"/>
    <w:qFormat/>
    <w:uiPriority w:val="99"/>
    <w:pPr>
      <w:keepNext/>
      <w:keepLines/>
      <w:spacing w:before="260" w:after="260" w:line="416" w:lineRule="auto"/>
      <w:outlineLvl w:val="2"/>
    </w:pPr>
    <w:rPr>
      <w:b/>
      <w:bCs/>
      <w:kern w:val="0"/>
      <w:sz w:val="32"/>
      <w:szCs w:val="32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33"/>
    <w:qFormat/>
    <w:uiPriority w:val="1"/>
    <w:pPr>
      <w:autoSpaceDE w:val="0"/>
      <w:autoSpaceDN w:val="0"/>
      <w:ind w:left="132"/>
      <w:jc w:val="left"/>
    </w:pPr>
    <w:rPr>
      <w:rFonts w:ascii="微软雅黑" w:hAnsi="微软雅黑" w:eastAsia="微软雅黑" w:cs="微软雅黑"/>
      <w:kern w:val="0"/>
      <w:sz w:val="24"/>
      <w:szCs w:val="24"/>
      <w:lang w:val="zh-CN" w:bidi="zh-CN"/>
    </w:rPr>
  </w:style>
  <w:style w:type="paragraph" w:styleId="6">
    <w:name w:val="Plain Text"/>
    <w:basedOn w:val="1"/>
    <w:link w:val="23"/>
    <w:qFormat/>
    <w:uiPriority w:val="99"/>
    <w:pPr>
      <w:widowControl/>
      <w:jc w:val="left"/>
    </w:pPr>
    <w:rPr>
      <w:rFonts w:ascii="微软雅黑" w:hAnsi="微软雅黑" w:eastAsia="微软雅黑"/>
      <w:kern w:val="0"/>
      <w:sz w:val="20"/>
      <w:szCs w:val="20"/>
    </w:rPr>
  </w:style>
  <w:style w:type="paragraph" w:styleId="7">
    <w:name w:val="Date"/>
    <w:basedOn w:val="1"/>
    <w:next w:val="1"/>
    <w:link w:val="24"/>
    <w:semiHidden/>
    <w:qFormat/>
    <w:uiPriority w:val="99"/>
    <w:pPr>
      <w:ind w:left="100" w:leftChars="2500"/>
    </w:pPr>
  </w:style>
  <w:style w:type="paragraph" w:styleId="8">
    <w:name w:val="Balloon Text"/>
    <w:basedOn w:val="1"/>
    <w:link w:val="25"/>
    <w:semiHidden/>
    <w:qFormat/>
    <w:uiPriority w:val="99"/>
    <w:rPr>
      <w:kern w:val="0"/>
      <w:sz w:val="18"/>
      <w:szCs w:val="18"/>
    </w:rPr>
  </w:style>
  <w:style w:type="paragraph" w:styleId="9">
    <w:name w:val="footer"/>
    <w:basedOn w:val="1"/>
    <w:link w:val="26"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10">
    <w:name w:val="header"/>
    <w:basedOn w:val="1"/>
    <w:link w:val="2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11">
    <w:name w:val="toc 1"/>
    <w:basedOn w:val="1"/>
    <w:next w:val="1"/>
    <w:semiHidden/>
    <w:unhideWhenUsed/>
    <w:qFormat/>
    <w:locked/>
    <w:uiPriority w:val="0"/>
    <w:pPr>
      <w:autoSpaceDE w:val="0"/>
      <w:autoSpaceDN w:val="0"/>
      <w:spacing w:before="182"/>
      <w:ind w:right="841"/>
      <w:jc w:val="right"/>
    </w:pPr>
    <w:rPr>
      <w:rFonts w:hint="eastAsia" w:ascii="微软雅黑" w:hAnsi="微软雅黑" w:eastAsia="微软雅黑"/>
      <w:kern w:val="0"/>
      <w:sz w:val="24"/>
      <w:szCs w:val="24"/>
    </w:rPr>
  </w:style>
  <w:style w:type="paragraph" w:styleId="12">
    <w:name w:val="Normal (Web)"/>
    <w:basedOn w:val="1"/>
    <w:semiHidden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3">
    <w:name w:val="Title"/>
    <w:basedOn w:val="1"/>
    <w:next w:val="1"/>
    <w:link w:val="34"/>
    <w:qFormat/>
    <w:locked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5">
    <w:name w:val="Table Grid"/>
    <w:basedOn w:val="14"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page number"/>
    <w:basedOn w:val="16"/>
    <w:semiHidden/>
    <w:qFormat/>
    <w:uiPriority w:val="99"/>
    <w:rPr>
      <w:rFonts w:cs="Times New Roman"/>
    </w:rPr>
  </w:style>
  <w:style w:type="character" w:styleId="18">
    <w:name w:val="FollowedHyperlink"/>
    <w:basedOn w:val="16"/>
    <w:semiHidden/>
    <w:unhideWhenUsed/>
    <w:qFormat/>
    <w:uiPriority w:val="99"/>
    <w:rPr>
      <w:color w:val="800080"/>
      <w:u w:val="single"/>
    </w:rPr>
  </w:style>
  <w:style w:type="character" w:styleId="19">
    <w:name w:val="Hyperlink"/>
    <w:qFormat/>
    <w:uiPriority w:val="99"/>
    <w:rPr>
      <w:rFonts w:cs="Times New Roman"/>
      <w:color w:val="0000FF"/>
      <w:u w:val="single"/>
    </w:rPr>
  </w:style>
  <w:style w:type="character" w:customStyle="1" w:styleId="20">
    <w:name w:val="标题 1 字符"/>
    <w:link w:val="2"/>
    <w:qFormat/>
    <w:locked/>
    <w:uiPriority w:val="99"/>
    <w:rPr>
      <w:b/>
      <w:kern w:val="44"/>
      <w:sz w:val="44"/>
    </w:rPr>
  </w:style>
  <w:style w:type="character" w:customStyle="1" w:styleId="21">
    <w:name w:val="标题 2 字符"/>
    <w:link w:val="3"/>
    <w:qFormat/>
    <w:locked/>
    <w:uiPriority w:val="99"/>
    <w:rPr>
      <w:rFonts w:ascii="Cambria" w:hAnsi="Cambria" w:eastAsia="宋体"/>
      <w:b/>
      <w:sz w:val="32"/>
    </w:rPr>
  </w:style>
  <w:style w:type="character" w:customStyle="1" w:styleId="22">
    <w:name w:val="标题 3 字符"/>
    <w:link w:val="4"/>
    <w:qFormat/>
    <w:locked/>
    <w:uiPriority w:val="99"/>
    <w:rPr>
      <w:b/>
      <w:sz w:val="32"/>
    </w:rPr>
  </w:style>
  <w:style w:type="character" w:customStyle="1" w:styleId="23">
    <w:name w:val="纯文本 字符"/>
    <w:link w:val="6"/>
    <w:qFormat/>
    <w:locked/>
    <w:uiPriority w:val="99"/>
    <w:rPr>
      <w:rFonts w:ascii="微软雅黑" w:hAnsi="微软雅黑" w:eastAsia="微软雅黑"/>
      <w:kern w:val="0"/>
      <w:sz w:val="20"/>
    </w:rPr>
  </w:style>
  <w:style w:type="character" w:customStyle="1" w:styleId="24">
    <w:name w:val="日期 字符"/>
    <w:link w:val="7"/>
    <w:semiHidden/>
    <w:qFormat/>
    <w:locked/>
    <w:uiPriority w:val="99"/>
    <w:rPr>
      <w:rFonts w:cs="Times New Roman"/>
    </w:rPr>
  </w:style>
  <w:style w:type="character" w:customStyle="1" w:styleId="25">
    <w:name w:val="批注框文本 字符"/>
    <w:link w:val="8"/>
    <w:semiHidden/>
    <w:qFormat/>
    <w:locked/>
    <w:uiPriority w:val="99"/>
    <w:rPr>
      <w:sz w:val="18"/>
    </w:rPr>
  </w:style>
  <w:style w:type="character" w:customStyle="1" w:styleId="26">
    <w:name w:val="页脚 字符"/>
    <w:link w:val="9"/>
    <w:qFormat/>
    <w:locked/>
    <w:uiPriority w:val="99"/>
    <w:rPr>
      <w:sz w:val="18"/>
    </w:rPr>
  </w:style>
  <w:style w:type="character" w:customStyle="1" w:styleId="27">
    <w:name w:val="页眉 字符"/>
    <w:link w:val="10"/>
    <w:qFormat/>
    <w:locked/>
    <w:uiPriority w:val="99"/>
    <w:rPr>
      <w:sz w:val="18"/>
    </w:rPr>
  </w:style>
  <w:style w:type="paragraph" w:styleId="28">
    <w:name w:val="List Paragraph"/>
    <w:basedOn w:val="1"/>
    <w:qFormat/>
    <w:uiPriority w:val="99"/>
    <w:pPr>
      <w:widowControl/>
      <w:spacing w:before="100" w:beforeAutospacing="1" w:after="100" w:afterAutospacing="1"/>
      <w:ind w:firstLine="4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9">
    <w:name w:val="Default"/>
    <w:qFormat/>
    <w:uiPriority w:val="99"/>
    <w:pPr>
      <w:widowControl w:val="0"/>
      <w:autoSpaceDE w:val="0"/>
      <w:autoSpaceDN w:val="0"/>
      <w:adjustRightInd w:val="0"/>
    </w:pPr>
    <w:rPr>
      <w:rFonts w:ascii="FZLanTingHeiS-B-GB" w:hAnsi="Calibri" w:eastAsia="FZLanTingHeiS-B-GB" w:cs="FZLanTingHeiS-B-GB"/>
      <w:color w:val="000000"/>
      <w:sz w:val="24"/>
      <w:szCs w:val="24"/>
      <w:lang w:val="en-US" w:eastAsia="zh-CN" w:bidi="ar-SA"/>
    </w:rPr>
  </w:style>
  <w:style w:type="paragraph" w:customStyle="1" w:styleId="30">
    <w:name w:val="Pa3"/>
    <w:basedOn w:val="29"/>
    <w:next w:val="29"/>
    <w:qFormat/>
    <w:uiPriority w:val="99"/>
    <w:pPr>
      <w:spacing w:line="481" w:lineRule="atLeast"/>
    </w:pPr>
    <w:rPr>
      <w:rFonts w:cs="Times New Roman"/>
      <w:color w:val="auto"/>
    </w:rPr>
  </w:style>
  <w:style w:type="character" w:customStyle="1" w:styleId="31">
    <w:name w:val="A5"/>
    <w:qFormat/>
    <w:uiPriority w:val="99"/>
    <w:rPr>
      <w:rFonts w:ascii="微软雅黑" w:eastAsia="微软雅黑"/>
      <w:color w:val="000000"/>
      <w:sz w:val="20"/>
    </w:rPr>
  </w:style>
  <w:style w:type="paragraph" w:customStyle="1" w:styleId="32">
    <w:name w:val="3CBD5A742C28424DA5172AD252E32316"/>
    <w:qFormat/>
    <w:uiPriority w:val="99"/>
    <w:pPr>
      <w:spacing w:after="200" w:line="276" w:lineRule="auto"/>
    </w:pPr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33">
    <w:name w:val="正文文本 字符"/>
    <w:basedOn w:val="16"/>
    <w:link w:val="5"/>
    <w:qFormat/>
    <w:uiPriority w:val="1"/>
    <w:rPr>
      <w:rFonts w:ascii="微软雅黑" w:hAnsi="微软雅黑" w:eastAsia="微软雅黑" w:cs="微软雅黑"/>
      <w:sz w:val="24"/>
      <w:szCs w:val="24"/>
      <w:lang w:val="zh-CN" w:bidi="zh-CN"/>
    </w:rPr>
  </w:style>
  <w:style w:type="character" w:customStyle="1" w:styleId="34">
    <w:name w:val="标题 字符"/>
    <w:basedOn w:val="16"/>
    <w:link w:val="1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customStyle="1" w:styleId="35">
    <w:name w:val="Table Paragraph"/>
    <w:basedOn w:val="1"/>
    <w:qFormat/>
    <w:uiPriority w:val="0"/>
    <w:pPr>
      <w:autoSpaceDE w:val="0"/>
      <w:autoSpaceDN w:val="0"/>
      <w:jc w:val="left"/>
    </w:pPr>
    <w:rPr>
      <w:rFonts w:hint="eastAsia" w:ascii="微软雅黑" w:hAnsi="微软雅黑" w:eastAsia="微软雅黑"/>
      <w:kern w:val="0"/>
      <w:sz w:val="22"/>
    </w:rPr>
  </w:style>
  <w:style w:type="paragraph" w:customStyle="1" w:styleId="36">
    <w:name w:val="msolistparagraph"/>
    <w:basedOn w:val="1"/>
    <w:qFormat/>
    <w:uiPriority w:val="0"/>
    <w:pPr>
      <w:widowControl/>
      <w:spacing w:beforeAutospacing="1" w:afterAutospacing="1"/>
      <w:ind w:firstLine="420"/>
      <w:jc w:val="left"/>
    </w:pPr>
    <w:rPr>
      <w:rFonts w:hint="eastAsia" w:ascii="宋体" w:hAnsi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theme" Target="theme/theme1.xml"/><Relationship Id="rId7" Type="http://schemas.openxmlformats.org/officeDocument/2006/relationships/footer" Target="footer4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21</Pages>
  <Words>5114</Words>
  <Characters>5320</Characters>
  <Lines>52</Lines>
  <Paragraphs>14</Paragraphs>
  <TotalTime>15</TotalTime>
  <ScaleCrop>false</ScaleCrop>
  <LinksUpToDate>false</LinksUpToDate>
  <CharactersWithSpaces>5460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2020-11-17T06:45:00Z</dcterms:created>
  <dc:creator>DOUJIA</dc:creator>
  <cp:lastModifiedBy>H</cp:lastModifiedBy>
  <dcterms:modified xsi:type="dcterms:W3CDTF">2023-12-14T02:13:20Z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D2943C37943541EAB4EBCE4DE5743005</vt:lpwstr>
  </property>
</Properties>
</file>